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F9" w:rsidRPr="007A39F9" w:rsidRDefault="00641C50" w:rsidP="007A39F9">
      <w:pPr>
        <w:pStyle w:val="Titel1"/>
        <w:tabs>
          <w:tab w:val="center" w:pos="4649"/>
          <w:tab w:val="right" w:pos="9299"/>
        </w:tabs>
        <w:rPr>
          <w:sz w:val="34"/>
          <w:szCs w:val="34"/>
          <w:lang w:val="en-GB"/>
        </w:rPr>
      </w:pPr>
      <w:r>
        <w:rPr>
          <w:lang w:val="en-GB"/>
        </w:rPr>
        <w:tab/>
      </w:r>
      <w:r w:rsidR="007A39F9" w:rsidRPr="007A39F9">
        <w:rPr>
          <w:sz w:val="34"/>
          <w:szCs w:val="34"/>
          <w:lang w:val="en-GB"/>
        </w:rPr>
        <w:t>Geographical Indicati</w:t>
      </w:r>
      <w:r w:rsidR="007A39F9">
        <w:rPr>
          <w:sz w:val="34"/>
          <w:szCs w:val="34"/>
          <w:lang w:val="en-GB"/>
        </w:rPr>
        <w:t>on challenged by climate change</w:t>
      </w:r>
      <w:r w:rsidR="007A39F9" w:rsidRPr="007A39F9">
        <w:rPr>
          <w:sz w:val="34"/>
          <w:szCs w:val="34"/>
          <w:lang w:val="en-GB"/>
        </w:rPr>
        <w:t xml:space="preserve"> No future or new morning? </w:t>
      </w:r>
    </w:p>
    <w:p w:rsidR="007F423C" w:rsidRPr="007A39F9" w:rsidRDefault="007A39F9" w:rsidP="007A39F9">
      <w:pPr>
        <w:pStyle w:val="Titel1"/>
        <w:tabs>
          <w:tab w:val="center" w:pos="4649"/>
          <w:tab w:val="right" w:pos="9299"/>
        </w:tabs>
        <w:rPr>
          <w:sz w:val="34"/>
          <w:szCs w:val="34"/>
          <w:lang w:val="en-GB"/>
        </w:rPr>
      </w:pPr>
      <w:r w:rsidRPr="007A39F9">
        <w:rPr>
          <w:sz w:val="34"/>
          <w:szCs w:val="34"/>
          <w:lang w:val="en-GB"/>
        </w:rPr>
        <w:t xml:space="preserve">Lessons from </w:t>
      </w:r>
      <w:r>
        <w:rPr>
          <w:sz w:val="34"/>
          <w:szCs w:val="34"/>
          <w:lang w:val="en-GB"/>
        </w:rPr>
        <w:t>the French Wine Industry</w:t>
      </w:r>
    </w:p>
    <w:p w:rsidR="007F423C" w:rsidRPr="00BF3817" w:rsidRDefault="007F423C">
      <w:pPr>
        <w:pStyle w:val="Titel1"/>
        <w:rPr>
          <w:lang w:val="en-GB"/>
        </w:rPr>
      </w:pPr>
    </w:p>
    <w:p w:rsidR="007F423C" w:rsidRPr="00BF3817" w:rsidRDefault="007A39F9">
      <w:pPr>
        <w:pStyle w:val="Authors"/>
        <w:rPr>
          <w:sz w:val="20"/>
          <w:lang w:val="en-GB"/>
        </w:rPr>
      </w:pPr>
      <w:r>
        <w:rPr>
          <w:sz w:val="20"/>
          <w:lang w:val="en-GB"/>
        </w:rPr>
        <w:t>Jean-Marc Touzard</w:t>
      </w:r>
      <w:r w:rsidR="000A201C" w:rsidRPr="00BF3817">
        <w:rPr>
          <w:sz w:val="20"/>
          <w:vertAlign w:val="superscript"/>
          <w:lang w:val="en-GB"/>
        </w:rPr>
        <w:t>1</w:t>
      </w:r>
    </w:p>
    <w:p w:rsidR="007F423C" w:rsidRPr="00BF3817" w:rsidRDefault="007F423C">
      <w:pPr>
        <w:pStyle w:val="Authors"/>
        <w:rPr>
          <w:sz w:val="20"/>
          <w:lang w:val="en-GB"/>
        </w:rPr>
      </w:pPr>
    </w:p>
    <w:p w:rsidR="007F423C" w:rsidRPr="00BF3817" w:rsidRDefault="007F423C">
      <w:pPr>
        <w:pStyle w:val="Authors"/>
        <w:jc w:val="left"/>
        <w:rPr>
          <w:lang w:val="en-GB"/>
        </w:rPr>
      </w:pPr>
    </w:p>
    <w:p w:rsidR="007F423C" w:rsidRPr="00BF3817" w:rsidRDefault="007F423C">
      <w:pPr>
        <w:pStyle w:val="Authors"/>
        <w:jc w:val="left"/>
        <w:rPr>
          <w:lang w:val="en-GB"/>
        </w:rPr>
        <w:sectPr w:rsidR="007F423C" w:rsidRPr="00BF3817" w:rsidSect="002F01EA">
          <w:headerReference w:type="default" r:id="rId6"/>
          <w:footerReference w:type="even" r:id="rId7"/>
          <w:footerReference w:type="default" r:id="rId8"/>
          <w:pgSz w:w="11907" w:h="16840" w:code="9"/>
          <w:pgMar w:top="1251" w:right="1134" w:bottom="1418" w:left="1474" w:header="142" w:footer="709" w:gutter="0"/>
          <w:cols w:space="720"/>
        </w:sectPr>
      </w:pPr>
    </w:p>
    <w:p w:rsidR="007F423C" w:rsidRPr="00BF3817" w:rsidRDefault="007F423C">
      <w:pPr>
        <w:pStyle w:val="abstract"/>
      </w:pPr>
      <w:r w:rsidRPr="00BF3817">
        <w:rPr>
          <w:i/>
          <w:iCs/>
        </w:rPr>
        <w:lastRenderedPageBreak/>
        <w:t xml:space="preserve">Abstract </w:t>
      </w:r>
      <w:r w:rsidR="00D54350">
        <w:rPr>
          <w:i/>
          <w:iCs/>
        </w:rPr>
        <w:t>–</w:t>
      </w:r>
      <w:r w:rsidRPr="00BF3817">
        <w:t xml:space="preserve"> </w:t>
      </w:r>
      <w:r w:rsidR="007A39F9" w:rsidRPr="007A39F9">
        <w:t>The paper presents a</w:t>
      </w:r>
      <w:r w:rsidR="007A39F9">
        <w:t>n overview</w:t>
      </w:r>
      <w:r w:rsidR="007A39F9" w:rsidRPr="007A39F9">
        <w:t xml:space="preserve"> of the impacts of climate change on GIs and explor</w:t>
      </w:r>
      <w:r w:rsidR="007A39F9">
        <w:t>es</w:t>
      </w:r>
      <w:r w:rsidR="007A39F9" w:rsidRPr="007A39F9">
        <w:t xml:space="preserve"> the conditions of adaptation</w:t>
      </w:r>
      <w:r w:rsidR="003018E5">
        <w:t xml:space="preserve"> of these products</w:t>
      </w:r>
      <w:r w:rsidR="007A39F9" w:rsidRPr="007A39F9">
        <w:t>. It is based on the formalization of an economic model of agricultural products under GI, and the example of wine, whose analysis of the conditions for adaptation to climate change has b</w:t>
      </w:r>
      <w:r w:rsidR="003018E5">
        <w:t xml:space="preserve">een the subject of a wide </w:t>
      </w:r>
      <w:r w:rsidR="007A39F9" w:rsidRPr="007A39F9">
        <w:t xml:space="preserve">research program, LACCAVE. Climate change places GI products in very constrained situations </w:t>
      </w:r>
      <w:r w:rsidR="003018E5">
        <w:t xml:space="preserve">with the </w:t>
      </w:r>
      <w:r w:rsidR="007A39F9" w:rsidRPr="007A39F9">
        <w:t>impasse of both conservative strategies and</w:t>
      </w:r>
      <w:r w:rsidR="007A39F9">
        <w:t xml:space="preserve"> adaptation through </w:t>
      </w:r>
      <w:proofErr w:type="spellStart"/>
      <w:r w:rsidR="007A39F9">
        <w:t>artificialis</w:t>
      </w:r>
      <w:r w:rsidR="007A39F9" w:rsidRPr="007A39F9">
        <w:t>ation</w:t>
      </w:r>
      <w:proofErr w:type="spellEnd"/>
      <w:r w:rsidR="003018E5">
        <w:t xml:space="preserve">. A </w:t>
      </w:r>
      <w:r w:rsidR="00AD7AAA">
        <w:t xml:space="preserve">third </w:t>
      </w:r>
      <w:r w:rsidR="003018E5">
        <w:t>way remains possible under</w:t>
      </w:r>
      <w:r w:rsidR="00AD7AAA">
        <w:t xml:space="preserve"> conditions: a moderate</w:t>
      </w:r>
      <w:r w:rsidR="007A39F9" w:rsidRPr="007A39F9">
        <w:t xml:space="preserve"> global warming, a procedural definition of GIs, the integration of mitigation measures in the code of practices, the reinforcement of R&amp;D, and the development of a new engineering of </w:t>
      </w:r>
      <w:r w:rsidR="00AD7AAA">
        <w:t>GIs</w:t>
      </w:r>
      <w:r w:rsidRPr="007A39F9">
        <w:t>.</w:t>
      </w:r>
      <w:r w:rsidRPr="00EA1A08">
        <w:rPr>
          <w:rStyle w:val="Appelnotedebasdep"/>
          <w:color w:val="FFFFFF"/>
        </w:rPr>
        <w:footnoteReference w:id="1"/>
      </w:r>
    </w:p>
    <w:p w:rsidR="007F423C" w:rsidRPr="00AB65F9" w:rsidRDefault="008B0641">
      <w:pPr>
        <w:pStyle w:val="Normaltext"/>
        <w:rPr>
          <w:b/>
          <w:sz w:val="14"/>
          <w:szCs w:val="20"/>
        </w:rPr>
      </w:pPr>
      <w:r w:rsidRPr="00F7029F">
        <w:rPr>
          <w:b/>
          <w:i/>
          <w:iCs/>
          <w:sz w:val="14"/>
          <w:szCs w:val="20"/>
        </w:rPr>
        <w:t>Keywords</w:t>
      </w:r>
      <w:r w:rsidR="00F7029F" w:rsidRPr="00F7029F">
        <w:rPr>
          <w:b/>
          <w:i/>
          <w:iCs/>
          <w:sz w:val="14"/>
          <w:szCs w:val="20"/>
        </w:rPr>
        <w:t xml:space="preserve"> </w:t>
      </w:r>
      <w:r w:rsidR="00F7029F">
        <w:rPr>
          <w:i/>
          <w:iCs/>
        </w:rPr>
        <w:t>–</w:t>
      </w:r>
      <w:r w:rsidRPr="00AB65F9">
        <w:rPr>
          <w:b/>
          <w:sz w:val="14"/>
          <w:szCs w:val="20"/>
        </w:rPr>
        <w:t xml:space="preserve"> </w:t>
      </w:r>
      <w:r w:rsidR="007A39F9" w:rsidRPr="007A39F9">
        <w:rPr>
          <w:b/>
          <w:sz w:val="14"/>
          <w:szCs w:val="20"/>
        </w:rPr>
        <w:t>G</w:t>
      </w:r>
      <w:r w:rsidR="007A39F9">
        <w:rPr>
          <w:b/>
          <w:sz w:val="14"/>
          <w:szCs w:val="20"/>
        </w:rPr>
        <w:t>I</w:t>
      </w:r>
      <w:r w:rsidR="007A39F9" w:rsidRPr="007A39F9">
        <w:rPr>
          <w:b/>
          <w:sz w:val="14"/>
          <w:szCs w:val="20"/>
        </w:rPr>
        <w:t>, climate change, wine</w:t>
      </w:r>
    </w:p>
    <w:p w:rsidR="00A36F85" w:rsidRPr="008B0641" w:rsidRDefault="00A36F85">
      <w:pPr>
        <w:pStyle w:val="Normaltext"/>
        <w:rPr>
          <w:sz w:val="14"/>
          <w:szCs w:val="20"/>
        </w:rPr>
      </w:pPr>
    </w:p>
    <w:p w:rsidR="007F423C" w:rsidRPr="00DD7EB9" w:rsidRDefault="007F423C">
      <w:pPr>
        <w:pStyle w:val="berschrift11"/>
        <w:rPr>
          <w:b/>
          <w:color w:val="C0504D" w:themeColor="accent2"/>
        </w:rPr>
      </w:pPr>
      <w:r w:rsidRPr="00DD7EB9">
        <w:rPr>
          <w:b/>
          <w:color w:val="C0504D" w:themeColor="accent2"/>
        </w:rPr>
        <w:t>Introduction</w:t>
      </w:r>
      <w:r w:rsidR="00D7446A" w:rsidRPr="00DD7EB9">
        <w:rPr>
          <w:b/>
          <w:color w:val="C0504D" w:themeColor="accent2"/>
        </w:rPr>
        <w:t xml:space="preserve"> </w:t>
      </w:r>
    </w:p>
    <w:p w:rsidR="007F423C" w:rsidRPr="00BF3817" w:rsidRDefault="00E5576A" w:rsidP="00E5576A">
      <w:pPr>
        <w:pStyle w:val="Normaltext"/>
        <w:tabs>
          <w:tab w:val="left" w:pos="240"/>
        </w:tabs>
      </w:pPr>
      <w:r>
        <w:t>Because it question</w:t>
      </w:r>
      <w:r w:rsidR="00E2362F">
        <w:t>s</w:t>
      </w:r>
      <w:r>
        <w:t xml:space="preserve"> the possibility of sustainable relationships between the characteristics of an agricultural product and its </w:t>
      </w:r>
      <w:r w:rsidR="003018E5">
        <w:t xml:space="preserve">local </w:t>
      </w:r>
      <w:r>
        <w:t xml:space="preserve">conditions of production, climate change </w:t>
      </w:r>
      <w:r>
        <w:t xml:space="preserve">(CC) </w:t>
      </w:r>
      <w:r>
        <w:t xml:space="preserve">appears as one of the main threats to products of origin and geographical indications (GI). Are GI products doomed to disappear because of </w:t>
      </w:r>
      <w:r w:rsidR="000004DC">
        <w:t>CC</w:t>
      </w:r>
      <w:r>
        <w:t xml:space="preserve">, or can they continue to offer perspectives for food systems? The paper proposes a synthesis of the impacts of </w:t>
      </w:r>
      <w:r w:rsidR="000004DC">
        <w:t>CC</w:t>
      </w:r>
      <w:r>
        <w:t xml:space="preserve"> on GIs and an exploration of the ways and conditions of their possible adaptation. It is based on: </w:t>
      </w:r>
      <w:proofErr w:type="spellStart"/>
      <w:r>
        <w:t>i</w:t>
      </w:r>
      <w:proofErr w:type="spellEnd"/>
      <w:r>
        <w:t xml:space="preserve">) the formalization of an economic model for agricultural products under GI, which makes it possible to organize the questioning of their sustainability in the context of </w:t>
      </w:r>
      <w:r w:rsidR="00E2362F">
        <w:t>CC</w:t>
      </w:r>
      <w:r>
        <w:t xml:space="preserve">, and ii) the example of wine, a production at the historical basis of </w:t>
      </w:r>
      <w:r w:rsidR="00E2362F">
        <w:t>GIs</w:t>
      </w:r>
      <w:r>
        <w:t xml:space="preserve">, and whose analysis of the conditions for adaptation to </w:t>
      </w:r>
      <w:r w:rsidR="000004DC">
        <w:t>CC</w:t>
      </w:r>
      <w:r>
        <w:t xml:space="preserve"> has</w:t>
      </w:r>
      <w:r w:rsidR="00E2362F">
        <w:t xml:space="preserve"> just been the subject of the</w:t>
      </w:r>
      <w:r>
        <w:t xml:space="preserve"> </w:t>
      </w:r>
      <w:r w:rsidR="00E2362F">
        <w:t xml:space="preserve">INRAE </w:t>
      </w:r>
      <w:r>
        <w:t>research program, L</w:t>
      </w:r>
      <w:r>
        <w:t>ACCAVE (</w:t>
      </w:r>
      <w:proofErr w:type="spellStart"/>
      <w:r>
        <w:t>Ollat</w:t>
      </w:r>
      <w:proofErr w:type="spellEnd"/>
      <w:r>
        <w:t xml:space="preserve">, </w:t>
      </w:r>
      <w:proofErr w:type="spellStart"/>
      <w:r>
        <w:t>Touzard</w:t>
      </w:r>
      <w:proofErr w:type="spellEnd"/>
      <w:r>
        <w:t>, 2016).</w:t>
      </w:r>
    </w:p>
    <w:p w:rsidR="007F423C" w:rsidRPr="00BF3817" w:rsidRDefault="007F423C">
      <w:pPr>
        <w:pStyle w:val="Normaltext"/>
        <w:tabs>
          <w:tab w:val="left" w:pos="240"/>
        </w:tabs>
      </w:pPr>
    </w:p>
    <w:p w:rsidR="00E5576A" w:rsidRDefault="00E5576A" w:rsidP="009913B4">
      <w:pPr>
        <w:pStyle w:val="Normaltext"/>
        <w:tabs>
          <w:tab w:val="left" w:pos="240"/>
        </w:tabs>
        <w:rPr>
          <w:b/>
          <w:smallCaps/>
          <w:color w:val="C0504D" w:themeColor="accent2"/>
          <w:sz w:val="18"/>
        </w:rPr>
      </w:pPr>
      <w:r w:rsidRPr="00E5576A">
        <w:rPr>
          <w:b/>
          <w:smallCaps/>
          <w:color w:val="C0504D" w:themeColor="accent2"/>
          <w:sz w:val="18"/>
        </w:rPr>
        <w:t>Th</w:t>
      </w:r>
      <w:r w:rsidR="00E2362F">
        <w:rPr>
          <w:b/>
          <w:smallCaps/>
          <w:color w:val="C0504D" w:themeColor="accent2"/>
          <w:sz w:val="18"/>
        </w:rPr>
        <w:t>e economic model of GI products</w:t>
      </w:r>
      <w:r w:rsidRPr="00E5576A">
        <w:rPr>
          <w:b/>
          <w:smallCaps/>
          <w:color w:val="C0504D" w:themeColor="accent2"/>
          <w:sz w:val="18"/>
        </w:rPr>
        <w:t xml:space="preserve"> </w:t>
      </w:r>
    </w:p>
    <w:p w:rsidR="000004DC" w:rsidRDefault="000004DC" w:rsidP="000004DC">
      <w:pPr>
        <w:pStyle w:val="Normaltext"/>
        <w:tabs>
          <w:tab w:val="left" w:pos="240"/>
        </w:tabs>
      </w:pPr>
      <w:r>
        <w:t xml:space="preserve">The economic model </w:t>
      </w:r>
      <w:r w:rsidR="00C927AB">
        <w:t>of origin-based product</w:t>
      </w:r>
      <w:r w:rsidR="00E2362F" w:rsidRPr="00E2362F">
        <w:t>, for which a GI comes to signal</w:t>
      </w:r>
      <w:r w:rsidR="00E2362F">
        <w:t xml:space="preserve">/guarantee </w:t>
      </w:r>
      <w:r w:rsidR="00C927AB">
        <w:t xml:space="preserve">its </w:t>
      </w:r>
      <w:r w:rsidR="00E2362F">
        <w:t xml:space="preserve">quality in global </w:t>
      </w:r>
      <w:r>
        <w:t>markets, is now well established (</w:t>
      </w:r>
      <w:proofErr w:type="spellStart"/>
      <w:r>
        <w:t>Belleti</w:t>
      </w:r>
      <w:proofErr w:type="spellEnd"/>
      <w:r>
        <w:t xml:space="preserve"> </w:t>
      </w:r>
      <w:r w:rsidR="00AF0C9F">
        <w:t>et al. 2017</w:t>
      </w:r>
      <w:r w:rsidR="00C927AB">
        <w:t>). T</w:t>
      </w:r>
      <w:r>
        <w:t xml:space="preserve">his model results from a process of quality construction, combining a succession of </w:t>
      </w:r>
      <w:r w:rsidR="00E2362F">
        <w:t>technical and commercial in</w:t>
      </w:r>
      <w:r>
        <w:t>vestments made by producers, the progressive recognition by consumers of this quality, and econom</w:t>
      </w:r>
      <w:r w:rsidR="00E2362F">
        <w:t>ic and institutional conditions</w:t>
      </w:r>
      <w:r>
        <w:t xml:space="preserve">, </w:t>
      </w:r>
      <w:r w:rsidR="00A74666">
        <w:t>such as evolution of</w:t>
      </w:r>
      <w:r>
        <w:t xml:space="preserve"> the legal framework and public polici</w:t>
      </w:r>
      <w:r w:rsidR="00C927AB">
        <w:t>es</w:t>
      </w:r>
      <w:r>
        <w:t xml:space="preserve">. This process </w:t>
      </w:r>
      <w:r w:rsidR="00A74666">
        <w:t>is</w:t>
      </w:r>
      <w:r>
        <w:t xml:space="preserve"> accompanied by the construction of </w:t>
      </w:r>
      <w:r w:rsidR="00A74666">
        <w:t>public goods</w:t>
      </w:r>
      <w:r>
        <w:t xml:space="preserve"> and leads to an economic model</w:t>
      </w:r>
      <w:r w:rsidR="00E2362F">
        <w:t xml:space="preserve"> whose viability is linked to </w:t>
      </w:r>
      <w:r w:rsidR="00A74666">
        <w:t xml:space="preserve">3 categories of </w:t>
      </w:r>
      <w:r>
        <w:t>assumptions:</w:t>
      </w:r>
    </w:p>
    <w:p w:rsidR="000004DC" w:rsidRDefault="000004DC" w:rsidP="000004DC">
      <w:pPr>
        <w:pStyle w:val="Normaltext"/>
        <w:tabs>
          <w:tab w:val="left" w:pos="240"/>
        </w:tabs>
      </w:pPr>
      <w:r>
        <w:lastRenderedPageBreak/>
        <w:t>(</w:t>
      </w:r>
      <w:proofErr w:type="spellStart"/>
      <w:r>
        <w:t>i</w:t>
      </w:r>
      <w:proofErr w:type="spellEnd"/>
      <w:r>
        <w:t>) The effective recognition by consumers and public authorities of an origin-related quality associated with the production of public goods. This recognition is the basis, on the one hand, of consumers' willingness to pa</w:t>
      </w:r>
      <w:r w:rsidR="003018E5">
        <w:t xml:space="preserve">y a higher price than a </w:t>
      </w:r>
      <w:r>
        <w:t xml:space="preserve">generic good, and, on the other hand, of public authorities' willingness to support activities that preserve public goods. The economic translation of these recognitions is the creation of </w:t>
      </w:r>
      <w:r w:rsidR="00A74666">
        <w:t>an "origin-</w:t>
      </w:r>
      <w:r w:rsidR="00B4409E">
        <w:t>based</w:t>
      </w:r>
      <w:r w:rsidR="00A74666">
        <w:t xml:space="preserve"> quality rent",</w:t>
      </w:r>
      <w:r>
        <w:t xml:space="preserve"> which combine</w:t>
      </w:r>
      <w:r w:rsidR="003018E5">
        <w:t>s</w:t>
      </w:r>
      <w:r>
        <w:t xml:space="preserve"> consumer payment</w:t>
      </w:r>
      <w:r w:rsidR="00A74666">
        <w:t xml:space="preserve"> </w:t>
      </w:r>
      <w:r>
        <w:t xml:space="preserve">and public support; </w:t>
      </w:r>
    </w:p>
    <w:p w:rsidR="000004DC" w:rsidRDefault="000004DC" w:rsidP="000004DC">
      <w:pPr>
        <w:pStyle w:val="Normaltext"/>
        <w:tabs>
          <w:tab w:val="left" w:pos="240"/>
        </w:tabs>
      </w:pPr>
      <w:r>
        <w:t xml:space="preserve">ii) The redistribution of this rent within the sector to ensure the reproduction and adaptation of companies and their resources. This redistribution concerns </w:t>
      </w:r>
      <w:r w:rsidR="003018E5">
        <w:t>3</w:t>
      </w:r>
      <w:r>
        <w:t xml:space="preserve"> types of activities: </w:t>
      </w:r>
    </w:p>
    <w:p w:rsidR="000004DC" w:rsidRDefault="000004DC" w:rsidP="000004DC">
      <w:pPr>
        <w:pStyle w:val="Normaltext"/>
        <w:tabs>
          <w:tab w:val="left" w:pos="240"/>
        </w:tabs>
      </w:pPr>
      <w:r>
        <w:t>- the private activities of the firms</w:t>
      </w:r>
      <w:r w:rsidR="00A74666">
        <w:t xml:space="preserve">, allowing the </w:t>
      </w:r>
      <w:r w:rsidR="003018E5">
        <w:t>maintain/i</w:t>
      </w:r>
      <w:r>
        <w:t xml:space="preserve">ncrease of their net margins and revenues; </w:t>
      </w:r>
    </w:p>
    <w:p w:rsidR="000004DC" w:rsidRDefault="00B4409E" w:rsidP="000004DC">
      <w:pPr>
        <w:pStyle w:val="Normaltext"/>
        <w:tabs>
          <w:tab w:val="left" w:pos="240"/>
        </w:tabs>
      </w:pPr>
      <w:r>
        <w:t xml:space="preserve">- </w:t>
      </w:r>
      <w:r w:rsidR="000004DC">
        <w:t xml:space="preserve">activities </w:t>
      </w:r>
      <w:r>
        <w:t>(</w:t>
      </w:r>
      <w:r w:rsidR="000004DC">
        <w:t>and cost</w:t>
      </w:r>
      <w:r>
        <w:t>)</w:t>
      </w:r>
      <w:r w:rsidR="000004DC">
        <w:t xml:space="preserve"> of a collective guarantee/promotion scheme for the product </w:t>
      </w:r>
      <w:r w:rsidR="00A74666">
        <w:t>and links to its origin</w:t>
      </w:r>
      <w:r w:rsidR="000004DC">
        <w:t xml:space="preserve">; </w:t>
      </w:r>
    </w:p>
    <w:p w:rsidR="000004DC" w:rsidRDefault="000004DC" w:rsidP="000004DC">
      <w:pPr>
        <w:pStyle w:val="Normaltext"/>
        <w:tabs>
          <w:tab w:val="left" w:pos="240"/>
        </w:tabs>
      </w:pPr>
      <w:r>
        <w:t xml:space="preserve">- </w:t>
      </w:r>
      <w:r w:rsidR="003018E5">
        <w:t>collective</w:t>
      </w:r>
      <w:r>
        <w:t xml:space="preserve"> and private activities preserv</w:t>
      </w:r>
      <w:r w:rsidR="00B4409E">
        <w:t>ing</w:t>
      </w:r>
      <w:r>
        <w:t xml:space="preserve"> </w:t>
      </w:r>
      <w:r w:rsidR="00B4409E">
        <w:t>the local</w:t>
      </w:r>
      <w:r>
        <w:t xml:space="preserve"> resources </w:t>
      </w:r>
      <w:r w:rsidR="00B4409E">
        <w:t xml:space="preserve">that are crucial for </w:t>
      </w:r>
      <w:r w:rsidR="003018E5">
        <w:t xml:space="preserve">the </w:t>
      </w:r>
      <w:r w:rsidR="00B4409E">
        <w:t xml:space="preserve">products </w:t>
      </w:r>
      <w:r w:rsidR="003018E5">
        <w:t>quality</w:t>
      </w:r>
      <w:r>
        <w:t>, including soil, ecosystems, landsca</w:t>
      </w:r>
      <w:r w:rsidR="00981B2F">
        <w:t>pe, local know-how</w:t>
      </w:r>
      <w:r w:rsidR="00A74666">
        <w:t>;</w:t>
      </w:r>
      <w:r>
        <w:t xml:space="preserve"> </w:t>
      </w:r>
    </w:p>
    <w:p w:rsidR="000004DC" w:rsidRDefault="000004DC" w:rsidP="000004DC">
      <w:pPr>
        <w:pStyle w:val="Normaltext"/>
        <w:tabs>
          <w:tab w:val="left" w:pos="240"/>
        </w:tabs>
      </w:pPr>
      <w:r>
        <w:t xml:space="preserve">iii) Additional conditions, which generate transaction costs, are </w:t>
      </w:r>
      <w:r w:rsidR="00981B2F">
        <w:t xml:space="preserve">related to </w:t>
      </w:r>
      <w:r>
        <w:t>the governance of the value chain</w:t>
      </w:r>
      <w:r w:rsidR="00981B2F">
        <w:t xml:space="preserve">, </w:t>
      </w:r>
      <w:r>
        <w:t>allow</w:t>
      </w:r>
      <w:r w:rsidR="00981B2F">
        <w:t>ing</w:t>
      </w:r>
      <w:r>
        <w:t xml:space="preserve"> </w:t>
      </w:r>
      <w:r w:rsidR="00981B2F">
        <w:t>the</w:t>
      </w:r>
      <w:r>
        <w:t xml:space="preserve"> balanced distribution of the rent between </w:t>
      </w:r>
      <w:r w:rsidR="00981B2F">
        <w:t>actors</w:t>
      </w:r>
      <w:r>
        <w:t>, the coordination of act</w:t>
      </w:r>
      <w:r w:rsidR="007C371E">
        <w:t>ions (specifications</w:t>
      </w:r>
      <w:r>
        <w:t xml:space="preserve">...) and </w:t>
      </w:r>
      <w:r w:rsidR="00981B2F">
        <w:t xml:space="preserve">the development of </w:t>
      </w:r>
      <w:r>
        <w:t xml:space="preserve">R&amp;D. </w:t>
      </w:r>
    </w:p>
    <w:p w:rsidR="000004DC" w:rsidRDefault="000004DC" w:rsidP="000004DC">
      <w:pPr>
        <w:pStyle w:val="Normaltext"/>
        <w:tabs>
          <w:tab w:val="left" w:pos="240"/>
        </w:tabs>
      </w:pPr>
      <w:r>
        <w:t xml:space="preserve">A dynamic and proportionate balance must be found between these </w:t>
      </w:r>
      <w:r w:rsidR="004726FE">
        <w:t xml:space="preserve">economic </w:t>
      </w:r>
      <w:r>
        <w:t xml:space="preserve">variables to ensure the viability of the </w:t>
      </w:r>
      <w:r w:rsidR="004726FE">
        <w:t>GI product</w:t>
      </w:r>
      <w:r>
        <w:t xml:space="preserve"> model</w:t>
      </w:r>
      <w:r w:rsidR="00A74666">
        <w:t xml:space="preserve">. </w:t>
      </w:r>
      <w:r>
        <w:t xml:space="preserve">The analytical </w:t>
      </w:r>
      <w:r w:rsidR="007C371E">
        <w:t>relevance</w:t>
      </w:r>
      <w:r>
        <w:t xml:space="preserve"> of this model has been </w:t>
      </w:r>
      <w:r w:rsidR="007C371E">
        <w:t xml:space="preserve">already </w:t>
      </w:r>
      <w:r>
        <w:t>shown for the wine sector (</w:t>
      </w:r>
      <w:proofErr w:type="spellStart"/>
      <w:r>
        <w:t>Belleti</w:t>
      </w:r>
      <w:proofErr w:type="spellEnd"/>
      <w:r>
        <w:t xml:space="preserve"> et al., 2017). This model can then be used as a framework to examine how</w:t>
      </w:r>
      <w:r w:rsidR="004726FE">
        <w:t xml:space="preserve"> CC</w:t>
      </w:r>
      <w:r>
        <w:t xml:space="preserve"> impacts challenge it and what adaptations are possible.</w:t>
      </w:r>
    </w:p>
    <w:p w:rsidR="006E0A88" w:rsidRPr="000004DC" w:rsidRDefault="006E0A88" w:rsidP="001F70E5">
      <w:pPr>
        <w:pStyle w:val="Normaltext"/>
        <w:tabs>
          <w:tab w:val="left" w:pos="240"/>
        </w:tabs>
        <w:rPr>
          <w:b/>
        </w:rPr>
      </w:pPr>
    </w:p>
    <w:p w:rsidR="004726FE" w:rsidRDefault="004726FE" w:rsidP="001F70E5">
      <w:pPr>
        <w:pStyle w:val="Normaltext"/>
        <w:tabs>
          <w:tab w:val="left" w:pos="240"/>
        </w:tabs>
        <w:rPr>
          <w:b/>
          <w:smallCaps/>
          <w:color w:val="C0504D" w:themeColor="accent2"/>
          <w:sz w:val="18"/>
        </w:rPr>
      </w:pPr>
      <w:r w:rsidRPr="004726FE">
        <w:rPr>
          <w:b/>
          <w:smallCaps/>
          <w:color w:val="C0504D" w:themeColor="accent2"/>
          <w:sz w:val="18"/>
        </w:rPr>
        <w:t xml:space="preserve">Climate change impacts threaten GIs </w:t>
      </w:r>
    </w:p>
    <w:p w:rsidR="004726FE" w:rsidRDefault="007C371E" w:rsidP="004726FE">
      <w:pPr>
        <w:pStyle w:val="Normaltext"/>
        <w:tabs>
          <w:tab w:val="left" w:pos="240"/>
        </w:tabs>
      </w:pPr>
      <w:r>
        <w:t xml:space="preserve">The increase in the </w:t>
      </w:r>
      <w:r w:rsidR="004726FE">
        <w:t xml:space="preserve">average temperature, </w:t>
      </w:r>
      <w:r>
        <w:t xml:space="preserve">the </w:t>
      </w:r>
      <w:r w:rsidR="004726FE">
        <w:t xml:space="preserve">changes in rainfall, the growing </w:t>
      </w:r>
      <w:r w:rsidR="00981B2F">
        <w:t xml:space="preserve">climate </w:t>
      </w:r>
      <w:r w:rsidR="004726FE">
        <w:t>variability, punctuated by more intense extrem</w:t>
      </w:r>
      <w:r>
        <w:t xml:space="preserve">e events, are </w:t>
      </w:r>
      <w:r w:rsidR="004726FE">
        <w:t xml:space="preserve">radically changing production conditions in agriculture, and in particular the relationship between product quality and the </w:t>
      </w:r>
      <w:r w:rsidR="00981B2F">
        <w:t xml:space="preserve">its local </w:t>
      </w:r>
      <w:r w:rsidR="004726FE">
        <w:t xml:space="preserve">conditions. A growing number of publications </w:t>
      </w:r>
      <w:r w:rsidR="00981B2F">
        <w:t>underline</w:t>
      </w:r>
      <w:r w:rsidR="004726FE">
        <w:t xml:space="preserve"> these impacts in different sectors, focus</w:t>
      </w:r>
      <w:r w:rsidR="00981B2F">
        <w:t>ing</w:t>
      </w:r>
      <w:r w:rsidR="004726FE">
        <w:t xml:space="preserve"> on the issue of yields and food security (IPCC, 2022). The pioneering work on w</w:t>
      </w:r>
      <w:r w:rsidR="00981B2F">
        <w:t>ine offers a more comprehensive and</w:t>
      </w:r>
      <w:r w:rsidR="004726FE">
        <w:t xml:space="preserve"> systemic analysis, </w:t>
      </w:r>
      <w:r>
        <w:t>showing</w:t>
      </w:r>
      <w:r w:rsidR="004726FE">
        <w:t xml:space="preserve"> direct and indirect effects, including on product quality, with a gene</w:t>
      </w:r>
      <w:r>
        <w:t>ric scope for GI products</w:t>
      </w:r>
      <w:r w:rsidR="004726FE">
        <w:t>.</w:t>
      </w:r>
      <w:r>
        <w:t xml:space="preserve"> T</w:t>
      </w:r>
      <w:r w:rsidR="004726FE">
        <w:t>he impacts</w:t>
      </w:r>
      <w:r>
        <w:t xml:space="preserve"> on wine</w:t>
      </w:r>
      <w:r w:rsidR="004726FE">
        <w:t xml:space="preserve"> are now well observed and simulated for the future:</w:t>
      </w:r>
    </w:p>
    <w:p w:rsidR="004726FE" w:rsidRDefault="004726FE" w:rsidP="004726FE">
      <w:pPr>
        <w:pStyle w:val="Normaltext"/>
        <w:tabs>
          <w:tab w:val="left" w:pos="240"/>
        </w:tabs>
      </w:pPr>
      <w:r>
        <w:lastRenderedPageBreak/>
        <w:t>(</w:t>
      </w:r>
      <w:proofErr w:type="spellStart"/>
      <w:r>
        <w:t>i</w:t>
      </w:r>
      <w:proofErr w:type="spellEnd"/>
      <w:r>
        <w:t xml:space="preserve">) vine </w:t>
      </w:r>
      <w:r w:rsidR="00C85E28">
        <w:t xml:space="preserve">development stages are earlier, </w:t>
      </w:r>
      <w:r>
        <w:t>affecting berry ripeni</w:t>
      </w:r>
      <w:r w:rsidR="007C371E">
        <w:t>ng conditions and harvest dates;</w:t>
      </w:r>
      <w:r>
        <w:t xml:space="preserve"> </w:t>
      </w:r>
    </w:p>
    <w:p w:rsidR="004726FE" w:rsidRDefault="004726FE" w:rsidP="004726FE">
      <w:pPr>
        <w:pStyle w:val="Normaltext"/>
        <w:tabs>
          <w:tab w:val="left" w:pos="240"/>
        </w:tabs>
      </w:pPr>
      <w:r>
        <w:t>ii) water stress is more pronounced, especially in the Mediterranean area, affect</w:t>
      </w:r>
      <w:r w:rsidR="007C371E">
        <w:t>ing</w:t>
      </w:r>
      <w:r>
        <w:t xml:space="preserve"> both </w:t>
      </w:r>
      <w:r w:rsidR="00B82D35">
        <w:t xml:space="preserve">the </w:t>
      </w:r>
      <w:r>
        <w:t xml:space="preserve">yields and </w:t>
      </w:r>
      <w:r w:rsidR="00B82D35">
        <w:t xml:space="preserve">the </w:t>
      </w:r>
      <w:r>
        <w:t xml:space="preserve">grape </w:t>
      </w:r>
      <w:r w:rsidR="00AA0426">
        <w:t>components</w:t>
      </w:r>
      <w:r>
        <w:t>;</w:t>
      </w:r>
    </w:p>
    <w:p w:rsidR="004726FE" w:rsidRDefault="004726FE" w:rsidP="004726FE">
      <w:pPr>
        <w:pStyle w:val="Normaltext"/>
        <w:tabs>
          <w:tab w:val="left" w:pos="240"/>
        </w:tabs>
      </w:pPr>
      <w:r>
        <w:t>iii) as a consequence, the quality of wines is changing rapidly, with more alcohol, less</w:t>
      </w:r>
      <w:r w:rsidR="00AA0426">
        <w:t xml:space="preserve"> acidity and</w:t>
      </w:r>
      <w:r>
        <w:t xml:space="preserve"> </w:t>
      </w:r>
      <w:r w:rsidR="007C371E">
        <w:t>new</w:t>
      </w:r>
      <w:r>
        <w:t xml:space="preserve"> aromatic profile</w:t>
      </w:r>
      <w:r w:rsidR="007C371E">
        <w:t xml:space="preserve">. </w:t>
      </w:r>
      <w:r>
        <w:t xml:space="preserve">These changes express a progressive shift from the qualities identified </w:t>
      </w:r>
      <w:r w:rsidR="00AA0426">
        <w:t xml:space="preserve">and codified </w:t>
      </w:r>
      <w:r w:rsidR="007C371E">
        <w:t>in</w:t>
      </w:r>
      <w:r>
        <w:t xml:space="preserve"> the appellatio</w:t>
      </w:r>
      <w:r w:rsidR="007C371E">
        <w:t>n areas, often before the 1980s</w:t>
      </w:r>
      <w:r>
        <w:t xml:space="preserve">; </w:t>
      </w:r>
    </w:p>
    <w:p w:rsidR="004726FE" w:rsidRDefault="004726FE" w:rsidP="004726FE">
      <w:pPr>
        <w:pStyle w:val="Normaltext"/>
        <w:tabs>
          <w:tab w:val="left" w:pos="240"/>
        </w:tabs>
      </w:pPr>
      <w:r>
        <w:t xml:space="preserve">iv) The increasing climatic variability accentuates the effects of vintages, until now integrated in the management of the qualities and markets of </w:t>
      </w:r>
      <w:r w:rsidR="00AA0426">
        <w:t xml:space="preserve">wine </w:t>
      </w:r>
      <w:r w:rsidR="002D3A22">
        <w:t>GIs</w:t>
      </w:r>
      <w:r>
        <w:t xml:space="preserve">; </w:t>
      </w:r>
    </w:p>
    <w:p w:rsidR="004726FE" w:rsidRDefault="004726FE" w:rsidP="004726FE">
      <w:pPr>
        <w:pStyle w:val="Normaltext"/>
        <w:tabs>
          <w:tab w:val="left" w:pos="240"/>
        </w:tabs>
      </w:pPr>
      <w:r>
        <w:t>v) Similarly, the risks linked to bio-aggress</w:t>
      </w:r>
      <w:r w:rsidR="00B82D35">
        <w:t>ors</w:t>
      </w:r>
      <w:r>
        <w:t xml:space="preserve"> or extreme events</w:t>
      </w:r>
      <w:r w:rsidR="002D3A22">
        <w:t xml:space="preserve"> </w:t>
      </w:r>
      <w:r>
        <w:t xml:space="preserve">threaten harvests and the economic viability of wine growers; </w:t>
      </w:r>
    </w:p>
    <w:p w:rsidR="004726FE" w:rsidRDefault="004726FE" w:rsidP="004726FE">
      <w:pPr>
        <w:pStyle w:val="Normaltext"/>
        <w:tabs>
          <w:tab w:val="left" w:pos="240"/>
        </w:tabs>
      </w:pPr>
      <w:r>
        <w:t xml:space="preserve">vi) the </w:t>
      </w:r>
      <w:r w:rsidR="00AA0426">
        <w:t xml:space="preserve">CC </w:t>
      </w:r>
      <w:r>
        <w:t>effects on ecosystems, landscapes or fire risks also affect the vineyards and their image, including t</w:t>
      </w:r>
      <w:r w:rsidR="002D3A22">
        <w:t>heir attractiveness to tourists</w:t>
      </w:r>
      <w:r>
        <w:t>;</w:t>
      </w:r>
    </w:p>
    <w:p w:rsidR="004726FE" w:rsidRDefault="00AA0426" w:rsidP="004726FE">
      <w:pPr>
        <w:pStyle w:val="Normaltext"/>
        <w:tabs>
          <w:tab w:val="left" w:pos="240"/>
        </w:tabs>
      </w:pPr>
      <w:r>
        <w:t>vii) N</w:t>
      </w:r>
      <w:r w:rsidR="004726FE">
        <w:t xml:space="preserve">ew possibilities of planting vines in regions that have become warmer (e.g. northern Europe), modify the competition between </w:t>
      </w:r>
      <w:r>
        <w:t xml:space="preserve">wine </w:t>
      </w:r>
      <w:r w:rsidR="004726FE">
        <w:t xml:space="preserve">regions; </w:t>
      </w:r>
    </w:p>
    <w:p w:rsidR="004726FE" w:rsidRDefault="004726FE" w:rsidP="004726FE">
      <w:pPr>
        <w:pStyle w:val="Normaltext"/>
        <w:tabs>
          <w:tab w:val="left" w:pos="240"/>
        </w:tabs>
      </w:pPr>
      <w:r>
        <w:t>viii) finally, the conditions of wine consumpt</w:t>
      </w:r>
      <w:r w:rsidR="002D3A22">
        <w:t xml:space="preserve">ion could </w:t>
      </w:r>
      <w:r w:rsidR="00AA0426">
        <w:t xml:space="preserve">also </w:t>
      </w:r>
      <w:r w:rsidR="002D3A22">
        <w:t xml:space="preserve">be affected, fi </w:t>
      </w:r>
      <w:r>
        <w:t>during the warmest seasons...</w:t>
      </w:r>
    </w:p>
    <w:p w:rsidR="004726FE" w:rsidRDefault="004726FE" w:rsidP="004726FE">
      <w:pPr>
        <w:pStyle w:val="Normaltext"/>
        <w:tabs>
          <w:tab w:val="left" w:pos="240"/>
        </w:tabs>
      </w:pPr>
      <w:r>
        <w:t>The impacts of</w:t>
      </w:r>
      <w:r w:rsidR="002D3A22">
        <w:t xml:space="preserve"> CC </w:t>
      </w:r>
      <w:r>
        <w:t xml:space="preserve">therefore modify the qualities of the products, their variability and their links to the territories, </w:t>
      </w:r>
      <w:r w:rsidR="00E41F89">
        <w:t>but also</w:t>
      </w:r>
      <w:r w:rsidR="00AA0426">
        <w:t xml:space="preserve"> the image of the products</w:t>
      </w:r>
      <w:r w:rsidR="00E41F89">
        <w:t xml:space="preserve"> and</w:t>
      </w:r>
      <w:r>
        <w:t xml:space="preserve"> the conditions of competition... </w:t>
      </w:r>
      <w:r w:rsidR="002D3A22">
        <w:t>CC</w:t>
      </w:r>
      <w:r>
        <w:t xml:space="preserve"> calls into question the assumptions of the economic model </w:t>
      </w:r>
      <w:r w:rsidR="002D3A22">
        <w:t>of</w:t>
      </w:r>
      <w:r>
        <w:t xml:space="preserve"> GI products: the intrinsic and extrinsic characteristics of the products that consumers may recognize; the volumes, costs and margins of producers; the management of local resources; the </w:t>
      </w:r>
      <w:r w:rsidR="00AA0426">
        <w:t>zoning and institutions…</w:t>
      </w:r>
    </w:p>
    <w:p w:rsidR="007F423C" w:rsidRPr="00BF3817" w:rsidRDefault="007F423C" w:rsidP="004726FE">
      <w:pPr>
        <w:pStyle w:val="Normaltext"/>
        <w:tabs>
          <w:tab w:val="left" w:pos="240"/>
        </w:tabs>
      </w:pPr>
    </w:p>
    <w:p w:rsidR="007F423C" w:rsidRPr="002D3A22" w:rsidRDefault="004726FE">
      <w:pPr>
        <w:pStyle w:val="Normaltext"/>
        <w:tabs>
          <w:tab w:val="left" w:pos="240"/>
        </w:tabs>
        <w:rPr>
          <w:b/>
          <w:smallCaps/>
          <w:color w:val="C0504D" w:themeColor="accent2"/>
          <w:sz w:val="18"/>
        </w:rPr>
      </w:pPr>
      <w:r w:rsidRPr="004726FE">
        <w:rPr>
          <w:b/>
          <w:smallCaps/>
          <w:color w:val="C0504D" w:themeColor="accent2"/>
          <w:sz w:val="18"/>
        </w:rPr>
        <w:t>Adaptation strategies also threaten GIs!</w:t>
      </w:r>
    </w:p>
    <w:p w:rsidR="004726FE" w:rsidRDefault="004726FE" w:rsidP="004726FE">
      <w:pPr>
        <w:pStyle w:val="Normaltext"/>
      </w:pPr>
      <w:r>
        <w:t xml:space="preserve">However, there are many </w:t>
      </w:r>
      <w:r w:rsidR="00E41F89">
        <w:t>solutions</w:t>
      </w:r>
      <w:r>
        <w:t xml:space="preserve"> to adapt to </w:t>
      </w:r>
      <w:r w:rsidR="002D3A22">
        <w:t>CC</w:t>
      </w:r>
      <w:r>
        <w:t xml:space="preserve"> in all agricultural sectors. They are being explored by both farmers and research</w:t>
      </w:r>
      <w:r w:rsidR="00AA0426">
        <w:t>, but these solutions</w:t>
      </w:r>
      <w:r>
        <w:t xml:space="preserve"> can also destabilize </w:t>
      </w:r>
      <w:r w:rsidR="00E41F89">
        <w:t xml:space="preserve">the </w:t>
      </w:r>
      <w:r>
        <w:t xml:space="preserve">production systems under </w:t>
      </w:r>
      <w:r w:rsidR="002D3A22">
        <w:t>GI</w:t>
      </w:r>
      <w:r>
        <w:t>.</w:t>
      </w:r>
      <w:r w:rsidR="002D3A22">
        <w:t xml:space="preserve"> </w:t>
      </w:r>
      <w:r w:rsidR="00AA0426">
        <w:t xml:space="preserve">In the case of </w:t>
      </w:r>
      <w:r>
        <w:t xml:space="preserve">wine, </w:t>
      </w:r>
      <w:r w:rsidR="004C7A41">
        <w:t>seven</w:t>
      </w:r>
      <w:r>
        <w:t xml:space="preserve"> areas of adaptation were identified </w:t>
      </w:r>
      <w:r w:rsidR="002D3A22">
        <w:t>in the LACCAVE project</w:t>
      </w:r>
      <w:r>
        <w:t xml:space="preserve">: </w:t>
      </w:r>
    </w:p>
    <w:p w:rsidR="004726FE" w:rsidRDefault="004726FE" w:rsidP="004726FE">
      <w:pPr>
        <w:pStyle w:val="Normaltext"/>
      </w:pPr>
      <w:proofErr w:type="spellStart"/>
      <w:r>
        <w:t>i</w:t>
      </w:r>
      <w:proofErr w:type="spellEnd"/>
      <w:r>
        <w:t xml:space="preserve">) </w:t>
      </w:r>
      <w:r w:rsidR="00E41F89">
        <w:t>new</w:t>
      </w:r>
      <w:r>
        <w:t xml:space="preserve"> vine varieties (later, more resistan</w:t>
      </w:r>
      <w:r w:rsidR="00AA0426">
        <w:t>t to drought, high temperatures and</w:t>
      </w:r>
      <w:r>
        <w:t xml:space="preserve"> diseases...), which may involve "native" grape varieties, but also </w:t>
      </w:r>
      <w:r w:rsidR="00AA0426">
        <w:t xml:space="preserve">varieties </w:t>
      </w:r>
      <w:r>
        <w:t xml:space="preserve">from other </w:t>
      </w:r>
      <w:r w:rsidR="002D3A22">
        <w:t>regions or created by research</w:t>
      </w:r>
      <w:r>
        <w:t xml:space="preserve">; </w:t>
      </w:r>
    </w:p>
    <w:p w:rsidR="004726FE" w:rsidRDefault="004726FE" w:rsidP="004726FE">
      <w:pPr>
        <w:pStyle w:val="Normaltext"/>
      </w:pPr>
      <w:r>
        <w:t xml:space="preserve">ii) the evolution of agronomic practices (soil or foliage management, </w:t>
      </w:r>
      <w:r w:rsidR="00AA0426">
        <w:t>canopy</w:t>
      </w:r>
      <w:r>
        <w:t xml:space="preserve"> management, planting de</w:t>
      </w:r>
      <w:r w:rsidR="002D3A22">
        <w:t>nsity, irrigation...)</w:t>
      </w:r>
      <w:r>
        <w:t xml:space="preserve">; </w:t>
      </w:r>
    </w:p>
    <w:p w:rsidR="004726FE" w:rsidRDefault="004726FE" w:rsidP="004726FE">
      <w:pPr>
        <w:pStyle w:val="Normaltext"/>
      </w:pPr>
      <w:r>
        <w:t>iii) the modification of oenological practices to correct the impacts of</w:t>
      </w:r>
      <w:r w:rsidR="002D3A22">
        <w:t xml:space="preserve"> climate change on wine quality, </w:t>
      </w:r>
      <w:r>
        <w:t xml:space="preserve">with a risk of </w:t>
      </w:r>
      <w:r w:rsidR="002D3A22">
        <w:t>i</w:t>
      </w:r>
      <w:r>
        <w:t>ndustrialization of wine;</w:t>
      </w:r>
    </w:p>
    <w:p w:rsidR="004726FE" w:rsidRDefault="004726FE" w:rsidP="004726FE">
      <w:pPr>
        <w:pStyle w:val="Normaltext"/>
      </w:pPr>
      <w:r>
        <w:t xml:space="preserve">iv) the reorganization of plantations in space, </w:t>
      </w:r>
      <w:r w:rsidR="002D3A22">
        <w:t>within the same production area</w:t>
      </w:r>
      <w:r>
        <w:t>, but which can also go as far as the creation of new vineyards in regions with</w:t>
      </w:r>
      <w:r w:rsidR="002D3A22">
        <w:t xml:space="preserve"> no wine-growing tradition</w:t>
      </w:r>
      <w:r>
        <w:t>;</w:t>
      </w:r>
    </w:p>
    <w:p w:rsidR="004726FE" w:rsidRDefault="004726FE" w:rsidP="004726FE">
      <w:pPr>
        <w:pStyle w:val="Normaltext"/>
      </w:pPr>
      <w:r>
        <w:t xml:space="preserve">v) the development of </w:t>
      </w:r>
      <w:r w:rsidR="002D3A22">
        <w:t>insurance tools</w:t>
      </w:r>
      <w:r w:rsidR="00992E95">
        <w:t xml:space="preserve"> and s</w:t>
      </w:r>
      <w:r w:rsidR="002D3A22">
        <w:t>trategies</w:t>
      </w:r>
      <w:r>
        <w:t>;</w:t>
      </w:r>
    </w:p>
    <w:p w:rsidR="004726FE" w:rsidRDefault="004726FE" w:rsidP="004726FE">
      <w:pPr>
        <w:pStyle w:val="Normaltext"/>
      </w:pPr>
      <w:r>
        <w:t>vi) taking into account the expectations of consumers, considered as a field of</w:t>
      </w:r>
      <w:r w:rsidR="00992E95">
        <w:t xml:space="preserve"> action to steer the adaptation</w:t>
      </w:r>
      <w:r>
        <w:t>;</w:t>
      </w:r>
    </w:p>
    <w:p w:rsidR="004726FE" w:rsidRDefault="004726FE" w:rsidP="004726FE">
      <w:pPr>
        <w:pStyle w:val="Normaltext"/>
      </w:pPr>
      <w:r>
        <w:t xml:space="preserve">vii) the revision of institutions, in particular the </w:t>
      </w:r>
      <w:r w:rsidR="00992E95">
        <w:t>GI</w:t>
      </w:r>
      <w:r w:rsidR="004C7A41">
        <w:t>s</w:t>
      </w:r>
      <w:r w:rsidR="00992E95">
        <w:t xml:space="preserve"> code</w:t>
      </w:r>
      <w:r w:rsidR="004C7A41">
        <w:t>s</w:t>
      </w:r>
      <w:r w:rsidR="00992E95">
        <w:t xml:space="preserve"> of practices</w:t>
      </w:r>
      <w:r w:rsidR="004C7A41">
        <w:t>.</w:t>
      </w:r>
    </w:p>
    <w:p w:rsidR="004726FE" w:rsidRDefault="004726FE" w:rsidP="004726FE">
      <w:pPr>
        <w:pStyle w:val="Normaltext"/>
      </w:pPr>
      <w:r>
        <w:t xml:space="preserve">The work conducted in LACCAVE has shown that the challenge is to combine these different </w:t>
      </w:r>
      <w:r w:rsidR="004C7A41">
        <w:t>solutions</w:t>
      </w:r>
      <w:r>
        <w:t xml:space="preserve"> in strategies to be developed at different scales of action, from the farm to the governance of the sector, </w:t>
      </w:r>
      <w:r>
        <w:lastRenderedPageBreak/>
        <w:t xml:space="preserve">with particular attention to the local scale and the regional innovation system (Boyer, </w:t>
      </w:r>
      <w:proofErr w:type="spellStart"/>
      <w:r>
        <w:t>Touzard</w:t>
      </w:r>
      <w:proofErr w:type="spellEnd"/>
      <w:r>
        <w:t xml:space="preserve">, 2021). The </w:t>
      </w:r>
      <w:r w:rsidR="00992E95">
        <w:t>research also shows</w:t>
      </w:r>
      <w:r>
        <w:t xml:space="preserve"> that winegrowers </w:t>
      </w:r>
      <w:r w:rsidR="00B82D35">
        <w:t xml:space="preserve">in all regions </w:t>
      </w:r>
      <w:r>
        <w:t>favour a strategy of "innovating to stay in the terroi</w:t>
      </w:r>
      <w:r w:rsidR="00992E95">
        <w:t>r".</w:t>
      </w:r>
      <w:r>
        <w:t xml:space="preserve"> </w:t>
      </w:r>
    </w:p>
    <w:p w:rsidR="007F423C" w:rsidRDefault="00B82D35" w:rsidP="004726FE">
      <w:pPr>
        <w:pStyle w:val="Normaltext"/>
      </w:pPr>
      <w:r>
        <w:t xml:space="preserve">The economic model of GI products shows that </w:t>
      </w:r>
      <w:r w:rsidR="004726FE">
        <w:t>adaptation strategies have a significant cost for companies and public policies (renewal of vineyards, irri</w:t>
      </w:r>
      <w:r w:rsidR="00E41F89">
        <w:t>gation, insurance</w:t>
      </w:r>
      <w:r>
        <w:t>). Adaptation is</w:t>
      </w:r>
      <w:r w:rsidR="00992E95">
        <w:t xml:space="preserve"> </w:t>
      </w:r>
      <w:r w:rsidR="004726FE">
        <w:t>in tension</w:t>
      </w:r>
      <w:r w:rsidR="00992E95">
        <w:t xml:space="preserve"> wi</w:t>
      </w:r>
      <w:r w:rsidR="004726FE">
        <w:t>th the e</w:t>
      </w:r>
      <w:r w:rsidR="00E41F89">
        <w:t>stablished frameworks of action and</w:t>
      </w:r>
      <w:r w:rsidR="004726FE">
        <w:t xml:space="preserve"> </w:t>
      </w:r>
      <w:r>
        <w:t xml:space="preserve">the GI </w:t>
      </w:r>
      <w:r w:rsidR="00E41F89">
        <w:t>specifications</w:t>
      </w:r>
      <w:r w:rsidR="004726FE">
        <w:t>.</w:t>
      </w:r>
    </w:p>
    <w:p w:rsidR="004726FE" w:rsidRPr="00BF3817" w:rsidRDefault="004726FE" w:rsidP="004726FE">
      <w:pPr>
        <w:pStyle w:val="Normaltext"/>
      </w:pPr>
    </w:p>
    <w:p w:rsidR="004726FE" w:rsidRDefault="004726FE">
      <w:pPr>
        <w:pStyle w:val="Normaltext"/>
        <w:tabs>
          <w:tab w:val="left" w:pos="240"/>
        </w:tabs>
        <w:rPr>
          <w:b/>
          <w:smallCaps/>
          <w:color w:val="C0504D" w:themeColor="accent2"/>
          <w:sz w:val="18"/>
        </w:rPr>
      </w:pPr>
      <w:r w:rsidRPr="004726FE">
        <w:rPr>
          <w:b/>
          <w:smallCaps/>
          <w:color w:val="C0504D" w:themeColor="accent2"/>
          <w:sz w:val="18"/>
        </w:rPr>
        <w:t xml:space="preserve">Renewing GIs to cope with climate change </w:t>
      </w:r>
    </w:p>
    <w:p w:rsidR="00491B28" w:rsidRDefault="00491B28" w:rsidP="00491B28">
      <w:pPr>
        <w:pStyle w:val="Normaltext"/>
        <w:tabs>
          <w:tab w:val="left" w:pos="240"/>
        </w:tabs>
      </w:pPr>
      <w:r>
        <w:t xml:space="preserve">Climate change therefore places GI products in very constrained </w:t>
      </w:r>
      <w:r w:rsidR="00912F09">
        <w:t xml:space="preserve">situations, </w:t>
      </w:r>
      <w:r w:rsidR="00E41F89">
        <w:t>facing</w:t>
      </w:r>
      <w:r w:rsidR="00912F09">
        <w:t xml:space="preserve"> t</w:t>
      </w:r>
      <w:r>
        <w:t>wo contrasting paths</w:t>
      </w:r>
      <w:r w:rsidR="00912F09">
        <w:t>:</w:t>
      </w:r>
      <w:r>
        <w:t xml:space="preserve"> </w:t>
      </w:r>
    </w:p>
    <w:p w:rsidR="00491B28" w:rsidRDefault="00491B28" w:rsidP="00491B28">
      <w:pPr>
        <w:pStyle w:val="Normaltext"/>
        <w:tabs>
          <w:tab w:val="left" w:pos="240"/>
        </w:tabs>
      </w:pPr>
      <w:proofErr w:type="spellStart"/>
      <w:r>
        <w:t>i</w:t>
      </w:r>
      <w:proofErr w:type="spellEnd"/>
      <w:r>
        <w:t>) a conservative strategy, integrating adaptation actions compatible with current specifications</w:t>
      </w:r>
      <w:r w:rsidR="00F95243">
        <w:t>,</w:t>
      </w:r>
      <w:r>
        <w:t xml:space="preserve"> would result in limited effects, given the acceleration </w:t>
      </w:r>
      <w:r w:rsidR="00912F09">
        <w:t>o</w:t>
      </w:r>
      <w:r>
        <w:t xml:space="preserve">f </w:t>
      </w:r>
      <w:r w:rsidR="00912F09">
        <w:t>CC</w:t>
      </w:r>
      <w:r>
        <w:t xml:space="preserve">. </w:t>
      </w:r>
      <w:r w:rsidR="00F95243">
        <w:t>T</w:t>
      </w:r>
      <w:r>
        <w:t>he</w:t>
      </w:r>
      <w:r w:rsidR="00F95243">
        <w:t xml:space="preserve"> GI product will be</w:t>
      </w:r>
      <w:r>
        <w:t xml:space="preserve"> too variable, no longer having the qualities expected by the co</w:t>
      </w:r>
      <w:r w:rsidR="00912F09">
        <w:t>nsumer</w:t>
      </w:r>
      <w:r>
        <w:t xml:space="preserve"> and affecting the economic results of </w:t>
      </w:r>
      <w:r w:rsidR="00F95243">
        <w:t xml:space="preserve">the </w:t>
      </w:r>
      <w:r>
        <w:t>producers...</w:t>
      </w:r>
    </w:p>
    <w:p w:rsidR="00491B28" w:rsidRDefault="00491B28" w:rsidP="00491B28">
      <w:pPr>
        <w:pStyle w:val="Normaltext"/>
        <w:tabs>
          <w:tab w:val="left" w:pos="240"/>
        </w:tabs>
      </w:pPr>
      <w:r>
        <w:t xml:space="preserve"> ii) Conversely, a highly innovative adaptation strategy would result in costly innovations, an </w:t>
      </w:r>
      <w:proofErr w:type="spellStart"/>
      <w:r>
        <w:t>artificialization</w:t>
      </w:r>
      <w:proofErr w:type="spellEnd"/>
      <w:r>
        <w:t xml:space="preserve"> of production systems that would risk strongly reducing the links to territorial resources and would not necessari</w:t>
      </w:r>
      <w:r w:rsidR="00F95243">
        <w:t>ly be accepted by the consumer.</w:t>
      </w:r>
      <w:r>
        <w:t xml:space="preserve"> </w:t>
      </w:r>
    </w:p>
    <w:p w:rsidR="00491B28" w:rsidRDefault="00491B28" w:rsidP="00491B28">
      <w:pPr>
        <w:pStyle w:val="Normaltext"/>
        <w:tabs>
          <w:tab w:val="left" w:pos="240"/>
        </w:tabs>
      </w:pPr>
      <w:r>
        <w:t xml:space="preserve">Would there then be no future for GIs in the context of </w:t>
      </w:r>
      <w:r w:rsidR="00912F09">
        <w:t>CC</w:t>
      </w:r>
      <w:r>
        <w:t>? By taking the analytical framework of the GI economic model and the lessons learned from the wine examp</w:t>
      </w:r>
      <w:r w:rsidR="00912F09">
        <w:t xml:space="preserve">le, </w:t>
      </w:r>
      <w:r w:rsidR="00F95243">
        <w:t>we show that a th</w:t>
      </w:r>
      <w:r w:rsidR="00912F09">
        <w:t xml:space="preserve">ird way </w:t>
      </w:r>
      <w:r w:rsidR="00F95243">
        <w:t xml:space="preserve">is possible under a set </w:t>
      </w:r>
      <w:r>
        <w:t>of conditions:</w:t>
      </w:r>
    </w:p>
    <w:p w:rsidR="00491B28" w:rsidRDefault="00491B28" w:rsidP="00491B28">
      <w:pPr>
        <w:pStyle w:val="Normaltext"/>
        <w:tabs>
          <w:tab w:val="left" w:pos="240"/>
        </w:tabs>
      </w:pPr>
      <w:proofErr w:type="spellStart"/>
      <w:r>
        <w:t>i</w:t>
      </w:r>
      <w:proofErr w:type="spellEnd"/>
      <w:r>
        <w:t>) the most moderate global warming, close to the COP21 targets (</w:t>
      </w:r>
      <w:r w:rsidR="005348F5">
        <w:t xml:space="preserve">below 2.0°C), which would </w:t>
      </w:r>
      <w:r>
        <w:t xml:space="preserve">provide more </w:t>
      </w:r>
      <w:r w:rsidR="005348F5">
        <w:t>options</w:t>
      </w:r>
      <w:r>
        <w:t xml:space="preserve"> for adaptation</w:t>
      </w:r>
      <w:r w:rsidR="005348F5">
        <w:t>;</w:t>
      </w:r>
    </w:p>
    <w:p w:rsidR="00491B28" w:rsidRDefault="007646F7" w:rsidP="00491B28">
      <w:pPr>
        <w:pStyle w:val="Normaltext"/>
        <w:tabs>
          <w:tab w:val="left" w:pos="240"/>
        </w:tabs>
      </w:pPr>
      <w:r>
        <w:t xml:space="preserve">ii) a </w:t>
      </w:r>
      <w:r w:rsidR="00491B28">
        <w:t>redefinition of the principles that underpin a GI product</w:t>
      </w:r>
      <w:r w:rsidR="00C3595A">
        <w:t>,</w:t>
      </w:r>
      <w:r>
        <w:t xml:space="preserve"> moving from a </w:t>
      </w:r>
      <w:r w:rsidR="00491B28">
        <w:t xml:space="preserve">conservative definition </w:t>
      </w:r>
      <w:r>
        <w:t xml:space="preserve">to a </w:t>
      </w:r>
      <w:r w:rsidR="00491B28">
        <w:t>procedural definition</w:t>
      </w:r>
      <w:r w:rsidR="00C3595A">
        <w:t xml:space="preserve"> </w:t>
      </w:r>
      <w:r>
        <w:t>promoting</w:t>
      </w:r>
      <w:r w:rsidR="00491B28">
        <w:t xml:space="preserve"> </w:t>
      </w:r>
      <w:r>
        <w:t xml:space="preserve">a specific quality based on </w:t>
      </w:r>
      <w:r w:rsidR="00491B28">
        <w:t>adaptive mana</w:t>
      </w:r>
      <w:r>
        <w:t>gement of local</w:t>
      </w:r>
      <w:r w:rsidR="005348F5">
        <w:t xml:space="preserve"> resources</w:t>
      </w:r>
      <w:r w:rsidR="00491B28">
        <w:t>;</w:t>
      </w:r>
    </w:p>
    <w:p w:rsidR="00491B28" w:rsidRDefault="00F354A2" w:rsidP="00491B28">
      <w:pPr>
        <w:pStyle w:val="Normaltext"/>
        <w:tabs>
          <w:tab w:val="left" w:pos="240"/>
        </w:tabs>
      </w:pPr>
      <w:r>
        <w:t xml:space="preserve">iii) The </w:t>
      </w:r>
      <w:r w:rsidR="00491B28">
        <w:t>inclusion</w:t>
      </w:r>
      <w:r>
        <w:t xml:space="preserve"> of mitigation actions </w:t>
      </w:r>
      <w:r w:rsidR="00491B28">
        <w:t xml:space="preserve">in </w:t>
      </w:r>
      <w:r w:rsidR="00C3595A">
        <w:t xml:space="preserve">both the GI specification and voluntary actions (such as </w:t>
      </w:r>
      <w:r w:rsidR="00C3595A">
        <w:t>a local carbon compensation system</w:t>
      </w:r>
      <w:r w:rsidR="00C3595A">
        <w:t>)</w:t>
      </w:r>
      <w:r w:rsidR="00491B28">
        <w:t>;</w:t>
      </w:r>
    </w:p>
    <w:p w:rsidR="00491B28" w:rsidRDefault="00491B28" w:rsidP="00491B28">
      <w:pPr>
        <w:pStyle w:val="Normaltext"/>
        <w:tabs>
          <w:tab w:val="left" w:pos="240"/>
        </w:tabs>
      </w:pPr>
      <w:r>
        <w:t>iv) The evolution of</w:t>
      </w:r>
      <w:r w:rsidR="00F354A2">
        <w:t xml:space="preserve"> </w:t>
      </w:r>
      <w:r w:rsidR="00ED6327">
        <w:t xml:space="preserve">consumer’s </w:t>
      </w:r>
      <w:r w:rsidR="006B712D">
        <w:t>incomes</w:t>
      </w:r>
      <w:r w:rsidR="00ED6327">
        <w:t xml:space="preserve"> a</w:t>
      </w:r>
      <w:r>
        <w:t xml:space="preserve">nd </w:t>
      </w:r>
      <w:r w:rsidR="00ED6327">
        <w:t>food patterns</w:t>
      </w:r>
      <w:r>
        <w:t xml:space="preserve">, maintaining "food purchasing power" and the recognition of the </w:t>
      </w:r>
      <w:r w:rsidR="00C3595A">
        <w:t>role</w:t>
      </w:r>
      <w:r>
        <w:t xml:space="preserve"> of origin </w:t>
      </w:r>
      <w:r w:rsidR="00C3595A">
        <w:t xml:space="preserve">food </w:t>
      </w:r>
      <w:r>
        <w:t>in soci</w:t>
      </w:r>
      <w:r w:rsidR="00C3595A">
        <w:t>ety</w:t>
      </w:r>
      <w:r>
        <w:t xml:space="preserve">; </w:t>
      </w:r>
    </w:p>
    <w:p w:rsidR="00491B28" w:rsidRDefault="00491B28" w:rsidP="00491B28">
      <w:pPr>
        <w:pStyle w:val="Normaltext"/>
        <w:tabs>
          <w:tab w:val="left" w:pos="240"/>
        </w:tabs>
      </w:pPr>
      <w:r>
        <w:t xml:space="preserve">v) The development of R&amp;D projects between researchers, agricultural organizations and economic actors in GI sectors with "participatory </w:t>
      </w:r>
      <w:r w:rsidR="006B712D">
        <w:t>approach</w:t>
      </w:r>
      <w:r>
        <w:t>";</w:t>
      </w:r>
    </w:p>
    <w:p w:rsidR="00491B28" w:rsidRPr="00BF3817" w:rsidRDefault="00491B28" w:rsidP="00491B28">
      <w:pPr>
        <w:pStyle w:val="Normaltext"/>
        <w:tabs>
          <w:tab w:val="left" w:pos="240"/>
        </w:tabs>
      </w:pPr>
      <w:r>
        <w:t xml:space="preserve">vi) </w:t>
      </w:r>
      <w:r w:rsidR="00ED6327">
        <w:t>A</w:t>
      </w:r>
      <w:r>
        <w:t xml:space="preserve"> new "engineering of products of origin", combining skills in diagnosis, spatial analysi</w:t>
      </w:r>
      <w:r w:rsidR="00ED6327">
        <w:t>s, climate simulation</w:t>
      </w:r>
      <w:r>
        <w:t xml:space="preserve"> and adaptive management of local projects.</w:t>
      </w:r>
    </w:p>
    <w:p w:rsidR="007F423C" w:rsidRPr="00BF3817" w:rsidRDefault="007F423C">
      <w:pPr>
        <w:pStyle w:val="Normaltext"/>
        <w:tabs>
          <w:tab w:val="left" w:pos="240"/>
        </w:tabs>
      </w:pPr>
    </w:p>
    <w:p w:rsidR="007F423C" w:rsidRPr="00DD7EB9" w:rsidRDefault="007F423C">
      <w:pPr>
        <w:pStyle w:val="berschrift11"/>
        <w:rPr>
          <w:b/>
          <w:color w:val="C0504D" w:themeColor="accent2"/>
        </w:rPr>
      </w:pPr>
      <w:r w:rsidRPr="00DD7EB9">
        <w:rPr>
          <w:b/>
          <w:color w:val="C0504D" w:themeColor="accent2"/>
        </w:rPr>
        <w:t>References</w:t>
      </w:r>
    </w:p>
    <w:p w:rsidR="00491B28" w:rsidRDefault="00491B28" w:rsidP="00491B28">
      <w:pPr>
        <w:pStyle w:val="Normaltext"/>
        <w:spacing w:before="80"/>
      </w:pPr>
      <w:proofErr w:type="spellStart"/>
      <w:r>
        <w:t>Belletti</w:t>
      </w:r>
      <w:proofErr w:type="spellEnd"/>
      <w:r>
        <w:t xml:space="preserve"> G., </w:t>
      </w:r>
      <w:proofErr w:type="spellStart"/>
      <w:r>
        <w:t>Marescotti</w:t>
      </w:r>
      <w:proofErr w:type="spellEnd"/>
      <w:r>
        <w:t xml:space="preserve"> A., </w:t>
      </w:r>
      <w:proofErr w:type="spellStart"/>
      <w:r>
        <w:t>Touzard</w:t>
      </w:r>
      <w:proofErr w:type="spellEnd"/>
      <w:r>
        <w:t xml:space="preserve"> J.-M. (2017). Geographical indications, public goods, and sustainable development: the roles of actors' strategies and public policies. </w:t>
      </w:r>
      <w:r w:rsidRPr="001803EF">
        <w:rPr>
          <w:i/>
        </w:rPr>
        <w:t>World Development</w:t>
      </w:r>
      <w:r>
        <w:t>, (98), 45-57.</w:t>
      </w:r>
    </w:p>
    <w:p w:rsidR="00491B28" w:rsidRPr="00491B28" w:rsidRDefault="00491B28" w:rsidP="00491B28">
      <w:pPr>
        <w:pStyle w:val="Normaltext"/>
        <w:spacing w:before="80"/>
        <w:rPr>
          <w:lang w:val="fr-FR"/>
        </w:rPr>
      </w:pPr>
      <w:r>
        <w:t xml:space="preserve">Boyer J., </w:t>
      </w:r>
      <w:proofErr w:type="spellStart"/>
      <w:r>
        <w:t>Touzard</w:t>
      </w:r>
      <w:proofErr w:type="spellEnd"/>
      <w:r>
        <w:t xml:space="preserve"> J.-M. (2021). To what extent do an innovation system and cleaner technological regime affect the decision-making proces</w:t>
      </w:r>
      <w:r>
        <w:t>s of climate adaptation?</w:t>
      </w:r>
      <w:r>
        <w:t xml:space="preserve"> </w:t>
      </w:r>
      <w:r w:rsidRPr="00912F09">
        <w:rPr>
          <w:i/>
          <w:lang w:val="fr-FR"/>
        </w:rPr>
        <w:t xml:space="preserve">Journal of </w:t>
      </w:r>
      <w:proofErr w:type="spellStart"/>
      <w:r w:rsidRPr="00912F09">
        <w:rPr>
          <w:i/>
          <w:lang w:val="fr-FR"/>
        </w:rPr>
        <w:t>Cleaner</w:t>
      </w:r>
      <w:proofErr w:type="spellEnd"/>
      <w:r w:rsidRPr="00912F09">
        <w:rPr>
          <w:i/>
          <w:lang w:val="fr-FR"/>
        </w:rPr>
        <w:t xml:space="preserve"> Production</w:t>
      </w:r>
      <w:r w:rsidRPr="00491B28">
        <w:rPr>
          <w:lang w:val="fr-FR"/>
        </w:rPr>
        <w:t>, 315, 1-13,</w:t>
      </w:r>
    </w:p>
    <w:p w:rsidR="00491B28" w:rsidRDefault="00491B28" w:rsidP="00491B28">
      <w:pPr>
        <w:pStyle w:val="Normaltext"/>
        <w:spacing w:before="80"/>
      </w:pPr>
      <w:r w:rsidRPr="00491B28">
        <w:rPr>
          <w:lang w:val="fr-FR"/>
        </w:rPr>
        <w:t xml:space="preserve">IPCC (2022). </w:t>
      </w:r>
      <w:proofErr w:type="spellStart"/>
      <w:r w:rsidRPr="00491B28">
        <w:rPr>
          <w:lang w:val="fr-FR"/>
        </w:rPr>
        <w:t>Climate</w:t>
      </w:r>
      <w:proofErr w:type="spellEnd"/>
      <w:r w:rsidRPr="00491B28">
        <w:rPr>
          <w:lang w:val="fr-FR"/>
        </w:rPr>
        <w:t xml:space="preserve"> Change </w:t>
      </w:r>
      <w:proofErr w:type="gramStart"/>
      <w:r w:rsidRPr="00491B28">
        <w:rPr>
          <w:lang w:val="fr-FR"/>
        </w:rPr>
        <w:t>2022:</w:t>
      </w:r>
      <w:proofErr w:type="gramEnd"/>
      <w:r w:rsidRPr="00491B28">
        <w:rPr>
          <w:lang w:val="fr-FR"/>
        </w:rPr>
        <w:t xml:space="preserve"> Impacts,</w:t>
      </w:r>
      <w:r>
        <w:rPr>
          <w:lang w:val="fr-FR"/>
        </w:rPr>
        <w:t xml:space="preserve"> Adaptation, and </w:t>
      </w:r>
      <w:proofErr w:type="spellStart"/>
      <w:r>
        <w:rPr>
          <w:lang w:val="fr-FR"/>
        </w:rPr>
        <w:t>Vulnerability</w:t>
      </w:r>
      <w:proofErr w:type="spellEnd"/>
      <w:r>
        <w:t>. Cambridge University Press.</w:t>
      </w:r>
    </w:p>
    <w:p w:rsidR="00491B28" w:rsidRDefault="00491B28" w:rsidP="00491B28">
      <w:pPr>
        <w:pStyle w:val="Normaltext"/>
        <w:spacing w:before="80"/>
      </w:pPr>
      <w:proofErr w:type="spellStart"/>
      <w:r>
        <w:t>Ollat</w:t>
      </w:r>
      <w:proofErr w:type="spellEnd"/>
      <w:r>
        <w:t xml:space="preserve"> N., </w:t>
      </w:r>
      <w:proofErr w:type="spellStart"/>
      <w:r>
        <w:t>Touzard</w:t>
      </w:r>
      <w:proofErr w:type="spellEnd"/>
      <w:r>
        <w:t xml:space="preserve"> J.-M., Van </w:t>
      </w:r>
      <w:proofErr w:type="spellStart"/>
      <w:r>
        <w:t>Leeuwen</w:t>
      </w:r>
      <w:proofErr w:type="spellEnd"/>
      <w:r>
        <w:t xml:space="preserve"> C. (2016). Climate chan</w:t>
      </w:r>
      <w:r w:rsidR="00ED6327">
        <w:t xml:space="preserve">ge impacts and adaptations: </w:t>
      </w:r>
      <w:r>
        <w:t xml:space="preserve">challenges for the wine industry. </w:t>
      </w:r>
      <w:proofErr w:type="spellStart"/>
      <w:r w:rsidRPr="001803EF">
        <w:rPr>
          <w:i/>
        </w:rPr>
        <w:t>Journ</w:t>
      </w:r>
      <w:proofErr w:type="spellEnd"/>
      <w:r w:rsidR="00ED6327">
        <w:rPr>
          <w:i/>
        </w:rPr>
        <w:t>.</w:t>
      </w:r>
      <w:r w:rsidRPr="001803EF">
        <w:rPr>
          <w:i/>
        </w:rPr>
        <w:t xml:space="preserve"> </w:t>
      </w:r>
      <w:r w:rsidR="00ED6327">
        <w:rPr>
          <w:i/>
        </w:rPr>
        <w:t xml:space="preserve">Of </w:t>
      </w:r>
      <w:r w:rsidRPr="001803EF">
        <w:rPr>
          <w:i/>
        </w:rPr>
        <w:t>W</w:t>
      </w:r>
      <w:r w:rsidR="00ED6327">
        <w:rPr>
          <w:i/>
        </w:rPr>
        <w:t>ine Econ.</w:t>
      </w:r>
      <w:r w:rsidR="001803EF">
        <w:t>, 11:</w:t>
      </w:r>
      <w:r>
        <w:t xml:space="preserve"> 139-149.</w:t>
      </w:r>
      <w:bookmarkStart w:id="0" w:name="_GoBack"/>
      <w:bookmarkEnd w:id="0"/>
    </w:p>
    <w:sectPr w:rsidR="00491B28" w:rsidSect="00E109AE">
      <w:type w:val="continuous"/>
      <w:pgSz w:w="11907" w:h="16840" w:code="9"/>
      <w:pgMar w:top="1251" w:right="1134" w:bottom="1134" w:left="1474" w:header="142" w:footer="397" w:gutter="0"/>
      <w:cols w:num="2" w:space="720" w:equalWidth="0">
        <w:col w:w="4295" w:space="708"/>
        <w:col w:w="42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763" w:rsidRDefault="00FE4763">
      <w:r>
        <w:separator/>
      </w:r>
    </w:p>
  </w:endnote>
  <w:endnote w:type="continuationSeparator" w:id="0">
    <w:p w:rsidR="00FE4763" w:rsidRDefault="00FE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22" w:rsidRDefault="007655D7" w:rsidP="00BD295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2052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20522" w:rsidRDefault="00420522" w:rsidP="00CD5A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AE" w:rsidRPr="00E109AE" w:rsidRDefault="00E109AE">
    <w:pPr>
      <w:pStyle w:val="Pieddepage"/>
      <w:jc w:val="center"/>
      <w:rPr>
        <w:caps/>
      </w:rPr>
    </w:pPr>
    <w:r w:rsidRPr="00E109AE">
      <w:rPr>
        <w:caps/>
      </w:rPr>
      <w:fldChar w:fldCharType="begin"/>
    </w:r>
    <w:r w:rsidRPr="00E109AE">
      <w:rPr>
        <w:caps/>
      </w:rPr>
      <w:instrText>PAGE   \* MERGEFORMAT</w:instrText>
    </w:r>
    <w:r w:rsidRPr="00E109AE">
      <w:rPr>
        <w:caps/>
      </w:rPr>
      <w:fldChar w:fldCharType="separate"/>
    </w:r>
    <w:r w:rsidR="00AD7AAA" w:rsidRPr="00AD7AAA">
      <w:rPr>
        <w:caps/>
        <w:noProof/>
        <w:lang w:val="fr-FR"/>
      </w:rPr>
      <w:t>2</w:t>
    </w:r>
    <w:r w:rsidRPr="00E109AE">
      <w:rPr>
        <w:caps/>
      </w:rPr>
      <w:fldChar w:fldCharType="end"/>
    </w:r>
  </w:p>
  <w:p w:rsidR="00420522" w:rsidRPr="00405D42" w:rsidRDefault="00420522" w:rsidP="00CD5A2F">
    <w:pPr>
      <w:pStyle w:val="Pieddepage"/>
      <w:ind w:right="360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763" w:rsidRDefault="00FE4763">
      <w:r>
        <w:separator/>
      </w:r>
    </w:p>
  </w:footnote>
  <w:footnote w:type="continuationSeparator" w:id="0">
    <w:p w:rsidR="00FE4763" w:rsidRDefault="00FE4763">
      <w:r>
        <w:continuationSeparator/>
      </w:r>
    </w:p>
  </w:footnote>
  <w:footnote w:id="1">
    <w:p w:rsidR="00420522" w:rsidRPr="007A39F9" w:rsidRDefault="00420522" w:rsidP="007A39F9">
      <w:pPr>
        <w:pStyle w:val="Footnote"/>
        <w:rPr>
          <w:color w:val="FF0000"/>
          <w:lang w:val="fr-FR"/>
        </w:rPr>
      </w:pPr>
      <w:r w:rsidRPr="00BF3817">
        <w:rPr>
          <w:vertAlign w:val="superscript"/>
          <w:lang w:val="en-GB"/>
        </w:rPr>
        <w:footnoteRef/>
      </w:r>
      <w:r w:rsidR="007A39F9">
        <w:rPr>
          <w:lang w:val="en-GB"/>
        </w:rPr>
        <w:t xml:space="preserve">Montpellier </w:t>
      </w:r>
      <w:r w:rsidRPr="00BF3817">
        <w:rPr>
          <w:lang w:val="en-GB"/>
        </w:rPr>
        <w:t>University</w:t>
      </w:r>
      <w:r w:rsidR="007A39F9">
        <w:rPr>
          <w:lang w:val="en-GB"/>
        </w:rPr>
        <w:t xml:space="preserve">, UMR Innovation, INRAE, </w:t>
      </w:r>
      <w:proofErr w:type="spellStart"/>
      <w:r w:rsidR="007A39F9">
        <w:rPr>
          <w:lang w:val="en-GB"/>
        </w:rPr>
        <w:t>Cirad</w:t>
      </w:r>
      <w:proofErr w:type="spellEnd"/>
      <w:r w:rsidR="007A39F9">
        <w:rPr>
          <w:lang w:val="en-GB"/>
        </w:rPr>
        <w:t xml:space="preserve">, </w:t>
      </w:r>
      <w:proofErr w:type="spellStart"/>
      <w:r w:rsidR="007A39F9">
        <w:rPr>
          <w:lang w:val="en-GB"/>
        </w:rPr>
        <w:t>Instit</w:t>
      </w:r>
      <w:proofErr w:type="spellEnd"/>
      <w:r w:rsidR="007A39F9">
        <w:rPr>
          <w:lang w:val="en-GB"/>
        </w:rPr>
        <w:t xml:space="preserve">. </w:t>
      </w:r>
      <w:r w:rsidR="007A39F9" w:rsidRPr="007A39F9">
        <w:rPr>
          <w:lang w:val="fr-FR"/>
        </w:rPr>
        <w:t>Agro</w:t>
      </w:r>
      <w:r w:rsidR="007A39F9" w:rsidRPr="007A39F9">
        <w:rPr>
          <w:lang w:val="fr-FR"/>
        </w:rPr>
        <w:br/>
        <w:t xml:space="preserve">2 place Viala, 34060 Montpellier, France </w:t>
      </w:r>
      <w:r w:rsidR="00917D3C" w:rsidRPr="007A39F9">
        <w:rPr>
          <w:lang w:val="fr-FR"/>
        </w:rPr>
        <w:t>(</w:t>
      </w:r>
      <w:hyperlink r:id="rId1" w:history="1">
        <w:r w:rsidR="007A39F9" w:rsidRPr="007A39F9">
          <w:rPr>
            <w:rStyle w:val="Lienhypertexte"/>
            <w:lang w:val="fr-FR"/>
          </w:rPr>
          <w:t>jean-marc.touzard@inrae.fr</w:t>
        </w:r>
      </w:hyperlink>
      <w:r w:rsidR="007A39F9" w:rsidRPr="007A39F9">
        <w:rPr>
          <w:lang w:val="fr-FR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2984" w:type="dxa"/>
      <w:tblInd w:w="-1184" w:type="dxa"/>
      <w:tblBorders>
        <w:top w:val="none" w:sz="0" w:space="0" w:color="auto"/>
        <w:left w:val="none" w:sz="0" w:space="0" w:color="auto"/>
        <w:bottom w:val="single" w:sz="6" w:space="0" w:color="77777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2"/>
      <w:gridCol w:w="8871"/>
      <w:gridCol w:w="3011"/>
    </w:tblGrid>
    <w:tr w:rsidR="001B519B" w:rsidRPr="00994BAA" w:rsidTr="00DD7EB9">
      <w:trPr>
        <w:trHeight w:val="989"/>
      </w:trPr>
      <w:tc>
        <w:tcPr>
          <w:tcW w:w="1102" w:type="dxa"/>
          <w:vAlign w:val="center"/>
        </w:tcPr>
        <w:p w:rsidR="001B519B" w:rsidRPr="00994BAA" w:rsidRDefault="001B519B" w:rsidP="00262F68">
          <w:pPr>
            <w:pStyle w:val="En-tte"/>
            <w:rPr>
              <w:rFonts w:ascii="Verdana" w:hAnsi="Verdana"/>
              <w:color w:val="00B050"/>
              <w:lang w:val="en-GB"/>
            </w:rPr>
          </w:pPr>
        </w:p>
      </w:tc>
      <w:tc>
        <w:tcPr>
          <w:tcW w:w="8871" w:type="dxa"/>
          <w:vAlign w:val="center"/>
        </w:tcPr>
        <w:p w:rsidR="00DD7EB9" w:rsidRPr="005577AE" w:rsidRDefault="00DD7EB9" w:rsidP="00DD7EB9">
          <w:pPr>
            <w:pStyle w:val="Titredepartie"/>
            <w:spacing w:before="0"/>
            <w:ind w:left="0"/>
            <w:jc w:val="center"/>
            <w:rPr>
              <w:rFonts w:ascii="Verdana" w:hAnsi="Verdana"/>
              <w:b w:val="0"/>
              <w:sz w:val="20"/>
              <w:lang w:val="en-US"/>
            </w:rPr>
          </w:pPr>
          <w:r w:rsidRPr="005577AE">
            <w:rPr>
              <w:rFonts w:ascii="Verdana" w:hAnsi="Verdana"/>
              <w:b w:val="0"/>
              <w:sz w:val="20"/>
              <w:lang w:val="en-US"/>
            </w:rPr>
            <w:t xml:space="preserve">Conference Proceedings </w:t>
          </w:r>
        </w:p>
        <w:p w:rsidR="001B519B" w:rsidRPr="005577AE" w:rsidRDefault="00DD7EB9" w:rsidP="005577AE">
          <w:pPr>
            <w:pStyle w:val="Titredepartie"/>
            <w:spacing w:before="0"/>
            <w:ind w:left="0"/>
            <w:jc w:val="center"/>
            <w:rPr>
              <w:rFonts w:ascii="Verdana" w:hAnsi="Verdana"/>
              <w:lang w:val="en-US"/>
            </w:rPr>
          </w:pPr>
          <w:proofErr w:type="spellStart"/>
          <w:r w:rsidRPr="005577AE">
            <w:rPr>
              <w:rFonts w:ascii="Verdana" w:hAnsi="Verdana"/>
              <w:sz w:val="20"/>
              <w:lang w:val="en-US"/>
            </w:rPr>
            <w:t>Worldwilde</w:t>
          </w:r>
          <w:proofErr w:type="spellEnd"/>
          <w:r w:rsidRPr="005577AE">
            <w:rPr>
              <w:rFonts w:ascii="Verdana" w:hAnsi="Verdana"/>
              <w:sz w:val="20"/>
              <w:lang w:val="en-US"/>
            </w:rPr>
            <w:t xml:space="preserve"> Perspectives on Geographical Indications</w:t>
          </w:r>
          <w:r w:rsidRPr="005577AE">
            <w:rPr>
              <w:rFonts w:ascii="Verdana" w:hAnsi="Verdana"/>
              <w:sz w:val="18"/>
              <w:lang w:val="en-US"/>
            </w:rPr>
            <w:br/>
          </w:r>
          <w:r w:rsidR="005577AE" w:rsidRPr="005577AE">
            <w:rPr>
              <w:rFonts w:ascii="Verdana" w:hAnsi="Verdana"/>
              <w:b w:val="0"/>
              <w:sz w:val="20"/>
              <w:lang w:val="en-US"/>
            </w:rPr>
            <w:t>M</w:t>
          </w:r>
          <w:r w:rsidR="005577AE">
            <w:rPr>
              <w:rFonts w:ascii="Verdana" w:hAnsi="Verdana"/>
              <w:b w:val="0"/>
              <w:sz w:val="20"/>
              <w:lang w:val="en-US"/>
            </w:rPr>
            <w:t>ontpellier, France</w:t>
          </w:r>
          <w:r w:rsidRPr="005577AE">
            <w:rPr>
              <w:rFonts w:ascii="Verdana" w:hAnsi="Verdana"/>
              <w:b w:val="0"/>
              <w:sz w:val="20"/>
              <w:lang w:val="en-US"/>
            </w:rPr>
            <w:t xml:space="preserve"> – </w:t>
          </w:r>
          <w:r w:rsidR="005577AE">
            <w:rPr>
              <w:rFonts w:ascii="Verdana" w:hAnsi="Verdana"/>
              <w:b w:val="0"/>
              <w:sz w:val="20"/>
              <w:lang w:val="en-US"/>
            </w:rPr>
            <w:t xml:space="preserve">5 to 8 </w:t>
          </w:r>
          <w:r w:rsidRPr="005577AE">
            <w:rPr>
              <w:rFonts w:ascii="Verdana" w:hAnsi="Verdana"/>
              <w:b w:val="0"/>
              <w:sz w:val="20"/>
              <w:lang w:val="en-US"/>
            </w:rPr>
            <w:t>of July, 202</w:t>
          </w:r>
          <w:r w:rsidR="005577AE">
            <w:rPr>
              <w:rFonts w:ascii="Verdana" w:hAnsi="Verdana"/>
              <w:b w:val="0"/>
              <w:sz w:val="20"/>
              <w:lang w:val="en-US"/>
            </w:rPr>
            <w:t>2</w:t>
          </w:r>
        </w:p>
      </w:tc>
      <w:tc>
        <w:tcPr>
          <w:tcW w:w="3011" w:type="dxa"/>
          <w:vAlign w:val="center"/>
        </w:tcPr>
        <w:p w:rsidR="001B519B" w:rsidRPr="00994BAA" w:rsidRDefault="007655D7" w:rsidP="00262F68">
          <w:pPr>
            <w:pStyle w:val="En-tte"/>
            <w:jc w:val="right"/>
            <w:rPr>
              <w:rFonts w:ascii="Cambria" w:hAnsi="Cambria"/>
              <w:color w:val="00B050"/>
              <w:sz w:val="20"/>
              <w:szCs w:val="20"/>
              <w:lang w:val="en-GB"/>
            </w:rPr>
          </w:pPr>
          <w:r w:rsidRPr="00DD7EB9">
            <w:rPr>
              <w:rFonts w:ascii="Verdana" w:hAnsi="Verdana"/>
              <w:sz w:val="20"/>
              <w:szCs w:val="20"/>
              <w:lang w:val="en-GB"/>
            </w:rPr>
            <w:fldChar w:fldCharType="begin"/>
          </w:r>
          <w:r w:rsidR="001B519B" w:rsidRPr="00DD7EB9">
            <w:rPr>
              <w:rFonts w:ascii="Verdana" w:hAnsi="Verdana"/>
              <w:sz w:val="20"/>
              <w:szCs w:val="20"/>
              <w:lang w:val="en-GB"/>
            </w:rPr>
            <w:instrText>PAGE   \* MERGEFORMAT</w:instrText>
          </w:r>
          <w:r w:rsidRPr="00DD7EB9">
            <w:rPr>
              <w:rFonts w:ascii="Verdana" w:hAnsi="Verdana"/>
              <w:sz w:val="20"/>
              <w:szCs w:val="20"/>
              <w:lang w:val="en-GB"/>
            </w:rPr>
            <w:fldChar w:fldCharType="separate"/>
          </w:r>
          <w:r w:rsidR="00AD7AAA">
            <w:rPr>
              <w:rFonts w:ascii="Verdana" w:hAnsi="Verdana"/>
              <w:noProof/>
              <w:sz w:val="20"/>
              <w:szCs w:val="20"/>
              <w:lang w:val="en-GB"/>
            </w:rPr>
            <w:t>2</w:t>
          </w:r>
          <w:r w:rsidRPr="00DD7EB9">
            <w:rPr>
              <w:rFonts w:ascii="Verdana" w:hAnsi="Verdana"/>
              <w:sz w:val="20"/>
              <w:szCs w:val="20"/>
              <w:lang w:val="en-GB"/>
            </w:rPr>
            <w:fldChar w:fldCharType="end"/>
          </w:r>
        </w:p>
      </w:tc>
    </w:tr>
  </w:tbl>
  <w:p w:rsidR="001B519B" w:rsidRPr="001B519B" w:rsidRDefault="001B519B" w:rsidP="000D6B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CE"/>
    <w:rsid w:val="000004DC"/>
    <w:rsid w:val="0000135C"/>
    <w:rsid w:val="00013242"/>
    <w:rsid w:val="00041071"/>
    <w:rsid w:val="00063AC4"/>
    <w:rsid w:val="00073BA2"/>
    <w:rsid w:val="00082BA8"/>
    <w:rsid w:val="000839FB"/>
    <w:rsid w:val="000A201C"/>
    <w:rsid w:val="000C5094"/>
    <w:rsid w:val="000D1023"/>
    <w:rsid w:val="000D6B6F"/>
    <w:rsid w:val="000E0B4A"/>
    <w:rsid w:val="000E3E47"/>
    <w:rsid w:val="000E74B8"/>
    <w:rsid w:val="000E78FC"/>
    <w:rsid w:val="001678D0"/>
    <w:rsid w:val="001803EF"/>
    <w:rsid w:val="001A0BC2"/>
    <w:rsid w:val="001A40D4"/>
    <w:rsid w:val="001B519B"/>
    <w:rsid w:val="001D4C5F"/>
    <w:rsid w:val="001F1E2E"/>
    <w:rsid w:val="001F70E5"/>
    <w:rsid w:val="0020461B"/>
    <w:rsid w:val="00221AC8"/>
    <w:rsid w:val="00240263"/>
    <w:rsid w:val="00240303"/>
    <w:rsid w:val="002427DF"/>
    <w:rsid w:val="00243F84"/>
    <w:rsid w:val="00285D11"/>
    <w:rsid w:val="00294212"/>
    <w:rsid w:val="002C3BDF"/>
    <w:rsid w:val="002C665E"/>
    <w:rsid w:val="002D204E"/>
    <w:rsid w:val="002D3A22"/>
    <w:rsid w:val="002F01EA"/>
    <w:rsid w:val="003018E5"/>
    <w:rsid w:val="00303353"/>
    <w:rsid w:val="00334B9F"/>
    <w:rsid w:val="00350B09"/>
    <w:rsid w:val="0036051D"/>
    <w:rsid w:val="0039785E"/>
    <w:rsid w:val="003A0493"/>
    <w:rsid w:val="003D58C2"/>
    <w:rsid w:val="003F7366"/>
    <w:rsid w:val="00405D42"/>
    <w:rsid w:val="004144B6"/>
    <w:rsid w:val="00420522"/>
    <w:rsid w:val="00433F37"/>
    <w:rsid w:val="0043791D"/>
    <w:rsid w:val="004726FE"/>
    <w:rsid w:val="00473026"/>
    <w:rsid w:val="00491B28"/>
    <w:rsid w:val="004C19B3"/>
    <w:rsid w:val="004C4D87"/>
    <w:rsid w:val="004C7A41"/>
    <w:rsid w:val="004E55A6"/>
    <w:rsid w:val="0050467A"/>
    <w:rsid w:val="00513039"/>
    <w:rsid w:val="00514837"/>
    <w:rsid w:val="005348F5"/>
    <w:rsid w:val="00534A84"/>
    <w:rsid w:val="00543B8B"/>
    <w:rsid w:val="005474F3"/>
    <w:rsid w:val="005577AE"/>
    <w:rsid w:val="005850D8"/>
    <w:rsid w:val="005E052A"/>
    <w:rsid w:val="005F1496"/>
    <w:rsid w:val="005F4AAA"/>
    <w:rsid w:val="006243F7"/>
    <w:rsid w:val="00641C50"/>
    <w:rsid w:val="00654671"/>
    <w:rsid w:val="00655938"/>
    <w:rsid w:val="0066650B"/>
    <w:rsid w:val="00681417"/>
    <w:rsid w:val="006B0B08"/>
    <w:rsid w:val="006B712D"/>
    <w:rsid w:val="006C452D"/>
    <w:rsid w:val="006C572F"/>
    <w:rsid w:val="006E0A88"/>
    <w:rsid w:val="006E5684"/>
    <w:rsid w:val="00732BF2"/>
    <w:rsid w:val="007646F7"/>
    <w:rsid w:val="007655D7"/>
    <w:rsid w:val="0077304F"/>
    <w:rsid w:val="007A39F9"/>
    <w:rsid w:val="007B4FCE"/>
    <w:rsid w:val="007C371E"/>
    <w:rsid w:val="007C6A50"/>
    <w:rsid w:val="007E580B"/>
    <w:rsid w:val="007F2AF0"/>
    <w:rsid w:val="007F423C"/>
    <w:rsid w:val="00805189"/>
    <w:rsid w:val="00807461"/>
    <w:rsid w:val="00810CD0"/>
    <w:rsid w:val="00826DE4"/>
    <w:rsid w:val="0083628E"/>
    <w:rsid w:val="00850022"/>
    <w:rsid w:val="008636B9"/>
    <w:rsid w:val="008818E4"/>
    <w:rsid w:val="008936A7"/>
    <w:rsid w:val="008B0112"/>
    <w:rsid w:val="008B0641"/>
    <w:rsid w:val="008D02CF"/>
    <w:rsid w:val="008E0880"/>
    <w:rsid w:val="008F27C0"/>
    <w:rsid w:val="008F37DB"/>
    <w:rsid w:val="00900709"/>
    <w:rsid w:val="00912F09"/>
    <w:rsid w:val="00914BB7"/>
    <w:rsid w:val="00916AC9"/>
    <w:rsid w:val="00917D3C"/>
    <w:rsid w:val="0093296F"/>
    <w:rsid w:val="00945380"/>
    <w:rsid w:val="009532A3"/>
    <w:rsid w:val="00965C57"/>
    <w:rsid w:val="00972F23"/>
    <w:rsid w:val="00974A4A"/>
    <w:rsid w:val="00981B2F"/>
    <w:rsid w:val="009913B4"/>
    <w:rsid w:val="00992E95"/>
    <w:rsid w:val="00994BAA"/>
    <w:rsid w:val="00996206"/>
    <w:rsid w:val="009A0E1D"/>
    <w:rsid w:val="009A7CDD"/>
    <w:rsid w:val="009E1D58"/>
    <w:rsid w:val="009E4870"/>
    <w:rsid w:val="009E5BB7"/>
    <w:rsid w:val="009F2084"/>
    <w:rsid w:val="00A2627C"/>
    <w:rsid w:val="00A36F85"/>
    <w:rsid w:val="00A60178"/>
    <w:rsid w:val="00A74666"/>
    <w:rsid w:val="00AA0426"/>
    <w:rsid w:val="00AB65F9"/>
    <w:rsid w:val="00AD7AAA"/>
    <w:rsid w:val="00AE762A"/>
    <w:rsid w:val="00AF0C9F"/>
    <w:rsid w:val="00AF6B74"/>
    <w:rsid w:val="00B4409E"/>
    <w:rsid w:val="00B51306"/>
    <w:rsid w:val="00B60C25"/>
    <w:rsid w:val="00B82D35"/>
    <w:rsid w:val="00B83878"/>
    <w:rsid w:val="00B9276C"/>
    <w:rsid w:val="00BC544F"/>
    <w:rsid w:val="00BD295C"/>
    <w:rsid w:val="00BD504B"/>
    <w:rsid w:val="00BE0493"/>
    <w:rsid w:val="00BF3817"/>
    <w:rsid w:val="00BF3FFE"/>
    <w:rsid w:val="00BF6AB7"/>
    <w:rsid w:val="00C168FE"/>
    <w:rsid w:val="00C26FC1"/>
    <w:rsid w:val="00C3595A"/>
    <w:rsid w:val="00C5734F"/>
    <w:rsid w:val="00C60D91"/>
    <w:rsid w:val="00C76BAD"/>
    <w:rsid w:val="00C85E28"/>
    <w:rsid w:val="00C927AB"/>
    <w:rsid w:val="00C979BE"/>
    <w:rsid w:val="00CA6D2D"/>
    <w:rsid w:val="00CD345E"/>
    <w:rsid w:val="00CD5A2F"/>
    <w:rsid w:val="00D23870"/>
    <w:rsid w:val="00D320E4"/>
    <w:rsid w:val="00D3745C"/>
    <w:rsid w:val="00D54350"/>
    <w:rsid w:val="00D61A41"/>
    <w:rsid w:val="00D61EAF"/>
    <w:rsid w:val="00D7446A"/>
    <w:rsid w:val="00D92770"/>
    <w:rsid w:val="00DA66A2"/>
    <w:rsid w:val="00DB205D"/>
    <w:rsid w:val="00DC5144"/>
    <w:rsid w:val="00DD7EB9"/>
    <w:rsid w:val="00E109AE"/>
    <w:rsid w:val="00E21F55"/>
    <w:rsid w:val="00E2362F"/>
    <w:rsid w:val="00E31639"/>
    <w:rsid w:val="00E41F89"/>
    <w:rsid w:val="00E5576A"/>
    <w:rsid w:val="00E61C43"/>
    <w:rsid w:val="00E74CA9"/>
    <w:rsid w:val="00E86ABD"/>
    <w:rsid w:val="00E90BBF"/>
    <w:rsid w:val="00E95E05"/>
    <w:rsid w:val="00EA1A08"/>
    <w:rsid w:val="00EA4516"/>
    <w:rsid w:val="00ED4817"/>
    <w:rsid w:val="00ED6327"/>
    <w:rsid w:val="00EF416E"/>
    <w:rsid w:val="00F204D1"/>
    <w:rsid w:val="00F31BB1"/>
    <w:rsid w:val="00F354A2"/>
    <w:rsid w:val="00F445EB"/>
    <w:rsid w:val="00F562B7"/>
    <w:rsid w:val="00F57C0C"/>
    <w:rsid w:val="00F7029F"/>
    <w:rsid w:val="00F87E77"/>
    <w:rsid w:val="00F95243"/>
    <w:rsid w:val="00FA5E38"/>
    <w:rsid w:val="00FB39C1"/>
    <w:rsid w:val="00FD4A0A"/>
    <w:rsid w:val="00FE4763"/>
    <w:rsid w:val="00FE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7AF37"/>
  <w15:docId w15:val="{183C842D-ABE6-44C5-9372-394736F7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  <w:lang w:val="da-DK" w:eastAsia="da-DK"/>
    </w:rPr>
  </w:style>
  <w:style w:type="paragraph" w:styleId="Titre1">
    <w:name w:val="heading 1"/>
    <w:aliases w:val="heading2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autoRedefine/>
    <w:qFormat/>
    <w:pPr>
      <w:keepNext/>
      <w:spacing w:line="200" w:lineRule="atLeast"/>
      <w:jc w:val="both"/>
      <w:outlineLvl w:val="3"/>
    </w:pPr>
    <w:rPr>
      <w:rFonts w:ascii="Verdana" w:hAnsi="Verdana"/>
      <w:b/>
      <w:sz w:val="14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el1">
    <w:name w:val="Titel1"/>
    <w:basedOn w:val="Titre1"/>
    <w:pPr>
      <w:jc w:val="center"/>
    </w:pPr>
    <w:rPr>
      <w:rFonts w:ascii="Verdana" w:hAnsi="Verdana"/>
      <w:b w:val="0"/>
      <w:bCs w:val="0"/>
      <w:sz w:val="40"/>
    </w:rPr>
  </w:style>
  <w:style w:type="paragraph" w:customStyle="1" w:styleId="Authors">
    <w:name w:val="Authors"/>
    <w:basedOn w:val="Normal"/>
    <w:pPr>
      <w:keepNext/>
      <w:jc w:val="center"/>
      <w:outlineLvl w:val="1"/>
    </w:pPr>
    <w:rPr>
      <w:rFonts w:ascii="Verdana" w:hAnsi="Verdana"/>
    </w:rPr>
  </w:style>
  <w:style w:type="paragraph" w:customStyle="1" w:styleId="abstract">
    <w:name w:val="abstract"/>
    <w:basedOn w:val="Titre4"/>
  </w:style>
  <w:style w:type="paragraph" w:customStyle="1" w:styleId="Normaltext">
    <w:name w:val="Normal text"/>
    <w:basedOn w:val="Normal"/>
    <w:pPr>
      <w:spacing w:line="220" w:lineRule="atLeast"/>
      <w:jc w:val="both"/>
    </w:pPr>
    <w:rPr>
      <w:rFonts w:ascii="Verdana" w:hAnsi="Verdana"/>
      <w:sz w:val="16"/>
      <w:lang w:val="en-GB"/>
    </w:rPr>
  </w:style>
  <w:style w:type="paragraph" w:customStyle="1" w:styleId="berschrift11">
    <w:name w:val="Überschrift 11"/>
    <w:basedOn w:val="Titre1"/>
    <w:pPr>
      <w:spacing w:after="40" w:line="220" w:lineRule="atLeast"/>
      <w:jc w:val="center"/>
    </w:pPr>
    <w:rPr>
      <w:rFonts w:ascii="Verdana" w:hAnsi="Verdana"/>
      <w:b w:val="0"/>
      <w:bCs w:val="0"/>
      <w:smallCaps/>
      <w:sz w:val="18"/>
      <w:lang w:val="en-GB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Footnote">
    <w:name w:val="Foot note"/>
    <w:basedOn w:val="Notedebasdepage"/>
    <w:pPr>
      <w:tabs>
        <w:tab w:val="left" w:pos="240"/>
      </w:tabs>
      <w:spacing w:line="160" w:lineRule="atLeast"/>
    </w:pPr>
    <w:rPr>
      <w:rFonts w:ascii="Verdana" w:hAnsi="Verdana"/>
      <w:sz w:val="12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autoSpaceDE w:val="0"/>
      <w:autoSpaceDN w:val="0"/>
      <w:adjustRightInd w:val="0"/>
      <w:spacing w:line="220" w:lineRule="atLeast"/>
    </w:pPr>
    <w:rPr>
      <w:rFonts w:ascii="Verdana" w:hAnsi="Verdana"/>
      <w:sz w:val="16"/>
      <w:lang w:val="en-GB"/>
    </w:rPr>
  </w:style>
  <w:style w:type="paragraph" w:customStyle="1" w:styleId="Firstheading">
    <w:name w:val="First heading"/>
    <w:basedOn w:val="Normal"/>
    <w:pPr>
      <w:jc w:val="center"/>
    </w:pPr>
    <w:rPr>
      <w:rFonts w:ascii="Verdana" w:hAnsi="Verdana"/>
      <w:smallCaps/>
      <w:sz w:val="20"/>
      <w:lang w:val="en-US"/>
    </w:rPr>
  </w:style>
  <w:style w:type="paragraph" w:customStyle="1" w:styleId="Table">
    <w:name w:val="Table"/>
    <w:basedOn w:val="Normaltext"/>
    <w:pPr>
      <w:tabs>
        <w:tab w:val="left" w:pos="240"/>
      </w:tabs>
    </w:pPr>
    <w:rPr>
      <w:sz w:val="14"/>
    </w:rPr>
  </w:style>
  <w:style w:type="paragraph" w:styleId="Pieddepage">
    <w:name w:val="footer"/>
    <w:basedOn w:val="Normal"/>
    <w:link w:val="PieddepageCar"/>
    <w:uiPriority w:val="99"/>
    <w:rsid w:val="00CD5A2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D5A2F"/>
  </w:style>
  <w:style w:type="paragraph" w:styleId="En-tte">
    <w:name w:val="header"/>
    <w:basedOn w:val="Normal"/>
    <w:link w:val="En-tteCar"/>
    <w:uiPriority w:val="99"/>
    <w:rsid w:val="00CD5A2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C572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2427DF"/>
    <w:rPr>
      <w:sz w:val="16"/>
      <w:szCs w:val="16"/>
    </w:rPr>
  </w:style>
  <w:style w:type="paragraph" w:styleId="Commentaire">
    <w:name w:val="annotation text"/>
    <w:basedOn w:val="Normal"/>
    <w:semiHidden/>
    <w:rsid w:val="002427D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427DF"/>
    <w:rPr>
      <w:b/>
      <w:bCs/>
    </w:rPr>
  </w:style>
  <w:style w:type="table" w:styleId="Grilledutableau">
    <w:name w:val="Table Grid"/>
    <w:basedOn w:val="TableauNormal"/>
    <w:uiPriority w:val="59"/>
    <w:rsid w:val="001B519B"/>
    <w:rPr>
      <w:rFonts w:ascii="Cambria" w:eastAsia="MS Mincho" w:hAnsi="Cambria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1B519B"/>
    <w:rPr>
      <w:rFonts w:ascii="Garamond" w:hAnsi="Garamond"/>
      <w:sz w:val="24"/>
      <w:szCs w:val="24"/>
      <w:lang w:val="da-DK" w:eastAsia="da-DK"/>
    </w:rPr>
  </w:style>
  <w:style w:type="paragraph" w:customStyle="1" w:styleId="Titredepartie">
    <w:name w:val="Titre de partie"/>
    <w:basedOn w:val="Titre3"/>
    <w:rsid w:val="00DD7EB9"/>
    <w:pPr>
      <w:keepLines/>
      <w:suppressAutoHyphens/>
      <w:autoSpaceDN w:val="0"/>
      <w:spacing w:before="200" w:after="0" w:line="276" w:lineRule="auto"/>
      <w:ind w:left="708"/>
      <w:textAlignment w:val="baseline"/>
    </w:pPr>
    <w:rPr>
      <w:rFonts w:ascii="Century Gothic" w:hAnsi="Century Gothic" w:cs="Times New Roman"/>
      <w:i/>
      <w:color w:val="B4482E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109AE"/>
    <w:rPr>
      <w:rFonts w:ascii="Garamond" w:hAnsi="Garamond"/>
      <w:sz w:val="24"/>
      <w:szCs w:val="24"/>
      <w:lang w:val="da-DK" w:eastAsia="da-DK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ean-marc.touzard@inrae.fr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1710</Words>
  <Characters>9409</Characters>
  <Application>Microsoft Office Word</Application>
  <DocSecurity>0</DocSecurity>
  <Lines>78</Lines>
  <Paragraphs>22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13</vt:i4>
      </vt:variant>
    </vt:vector>
  </HeadingPairs>
  <TitlesOfParts>
    <vt:vector size="15" baseType="lpstr">
      <vt:lpstr>Preparation and submission of extended ab-stracts for the Joint Organic Congress 2006</vt:lpstr>
      <vt:lpstr>Preparation and submission of extended ab-stracts for the Joint Organic Congress 2006</vt:lpstr>
      <vt:lpstr>Title</vt:lpstr>
      <vt:lpstr/>
      <vt:lpstr>    First A. Author, Second B. Author, und Third C. Author1</vt:lpstr>
      <vt:lpstr>    </vt:lpstr>
      <vt:lpstr>    </vt:lpstr>
      <vt:lpstr>    </vt:lpstr>
      <vt:lpstr>Introduction to using the template</vt:lpstr>
      <vt:lpstr>Procedure for Short paper submission</vt:lpstr>
      <vt:lpstr>Structure of the short paper</vt:lpstr>
      <vt:lpstr>Helpful hints on formatting</vt:lpstr>
      <vt:lpstr>Guidelines for references</vt:lpstr>
      <vt:lpstr>Acknowledgement</vt:lpstr>
      <vt:lpstr>References</vt:lpstr>
    </vt:vector>
  </TitlesOfParts>
  <Company>DJF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and submission of extended ab-stracts for the Joint Organic Congress 2006</dc:title>
  <dc:creator>lel</dc:creator>
  <cp:lastModifiedBy>correcteur</cp:lastModifiedBy>
  <cp:revision>16</cp:revision>
  <cp:lastPrinted>2010-01-26T12:47:00Z</cp:lastPrinted>
  <dcterms:created xsi:type="dcterms:W3CDTF">2022-06-06T08:25:00Z</dcterms:created>
  <dcterms:modified xsi:type="dcterms:W3CDTF">2022-06-06T22:13:00Z</dcterms:modified>
</cp:coreProperties>
</file>