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D73A" w14:textId="678CBF5B" w:rsidR="007F423C" w:rsidRPr="00DF52BC" w:rsidRDefault="00D43AE9" w:rsidP="00D43AE9">
      <w:pPr>
        <w:pStyle w:val="Titel1"/>
        <w:tabs>
          <w:tab w:val="center" w:pos="4649"/>
          <w:tab w:val="right" w:pos="9299"/>
        </w:tabs>
        <w:rPr>
          <w:lang w:val="en-GB"/>
        </w:rPr>
      </w:pPr>
      <w:r w:rsidRPr="00DF52BC">
        <w:rPr>
          <w:lang w:val="en-GB"/>
        </w:rPr>
        <w:t>Questionin</w:t>
      </w:r>
      <w:r w:rsidR="00C344DC">
        <w:rPr>
          <w:lang w:val="en-GB"/>
        </w:rPr>
        <w:t>g</w:t>
      </w:r>
      <w:r w:rsidRPr="00DF52BC">
        <w:rPr>
          <w:lang w:val="en-GB"/>
        </w:rPr>
        <w:t xml:space="preserve"> the global diffusion of GI as a policy model: </w:t>
      </w:r>
      <w:r w:rsidR="00C55623">
        <w:rPr>
          <w:lang w:val="en-GB"/>
        </w:rPr>
        <w:t>L</w:t>
      </w:r>
      <w:r w:rsidRPr="00DF52BC">
        <w:rPr>
          <w:lang w:val="en-GB"/>
        </w:rPr>
        <w:t>essons from the implementation of Café de Galapagos GI (Ecuador)</w:t>
      </w:r>
    </w:p>
    <w:p w14:paraId="227CAFE0" w14:textId="77777777" w:rsidR="007F423C" w:rsidRPr="004B0F43" w:rsidRDefault="007F423C" w:rsidP="004B0F43">
      <w:pPr>
        <w:rPr>
          <w:sz w:val="16"/>
          <w:lang w:val="en-GB"/>
        </w:rPr>
      </w:pPr>
    </w:p>
    <w:p w14:paraId="5C7344EE" w14:textId="65B42980" w:rsidR="00F41F38" w:rsidRPr="00F41F38" w:rsidRDefault="00F41F38" w:rsidP="00F41F38">
      <w:pPr>
        <w:pStyle w:val="Authors"/>
        <w:rPr>
          <w:sz w:val="20"/>
          <w:lang w:val="es-EC"/>
        </w:rPr>
      </w:pPr>
      <w:r>
        <w:rPr>
          <w:sz w:val="20"/>
          <w:lang w:val="en-GB"/>
        </w:rPr>
        <w:t>Rafael Villota S.</w:t>
      </w:r>
      <w:r w:rsidR="007F423C" w:rsidRPr="00DF52BC">
        <w:rPr>
          <w:sz w:val="20"/>
          <w:lang w:val="en-GB"/>
        </w:rPr>
        <w:t xml:space="preserve">, </w:t>
      </w:r>
      <w:r w:rsidRPr="00F41F38">
        <w:rPr>
          <w:sz w:val="20"/>
          <w:lang w:val="es-EC"/>
        </w:rPr>
        <w:t>Matthew J. Zinsli</w:t>
      </w:r>
      <w:r w:rsidR="00FA6CB1">
        <w:rPr>
          <w:sz w:val="20"/>
          <w:lang w:val="es-EC"/>
        </w:rPr>
        <w:t xml:space="preserve">, </w:t>
      </w:r>
      <w:r w:rsidR="00FA6CB1" w:rsidRPr="00F41F38">
        <w:rPr>
          <w:sz w:val="20"/>
          <w:lang w:val="es-EC"/>
        </w:rPr>
        <w:t>Mariagiulia Mariani</w:t>
      </w:r>
      <w:r w:rsidR="00FA6CB1">
        <w:rPr>
          <w:sz w:val="20"/>
          <w:lang w:val="es-EC"/>
        </w:rPr>
        <w:t>.</w:t>
      </w:r>
    </w:p>
    <w:p w14:paraId="109BD947" w14:textId="77777777" w:rsidR="007F423C" w:rsidRPr="00DF52BC" w:rsidRDefault="007F423C" w:rsidP="00F41F38">
      <w:pPr>
        <w:pStyle w:val="Authors"/>
        <w:rPr>
          <w:sz w:val="20"/>
          <w:lang w:val="en-GB"/>
        </w:rPr>
      </w:pPr>
    </w:p>
    <w:p w14:paraId="6A0864FF" w14:textId="77777777" w:rsidR="007F423C" w:rsidRPr="00DF52BC" w:rsidRDefault="007F423C">
      <w:pPr>
        <w:pStyle w:val="Authors"/>
        <w:jc w:val="left"/>
        <w:rPr>
          <w:lang w:val="en-GB"/>
        </w:rPr>
        <w:sectPr w:rsidR="007F423C" w:rsidRPr="00DF52BC" w:rsidSect="00540A1D">
          <w:headerReference w:type="default" r:id="rId7"/>
          <w:footerReference w:type="even" r:id="rId8"/>
          <w:footerReference w:type="default" r:id="rId9"/>
          <w:pgSz w:w="11907" w:h="16840" w:code="9"/>
          <w:pgMar w:top="1055" w:right="1134" w:bottom="775" w:left="1474" w:header="142" w:footer="709" w:gutter="0"/>
          <w:cols w:space="720"/>
        </w:sectPr>
      </w:pPr>
    </w:p>
    <w:p w14:paraId="5F176C44" w14:textId="6E8C7158" w:rsidR="00E2153D" w:rsidRPr="00DF52BC" w:rsidRDefault="007F423C" w:rsidP="00E2153D">
      <w:pPr>
        <w:pStyle w:val="NormalWeb"/>
        <w:spacing w:before="0" w:beforeAutospacing="0" w:after="0" w:afterAutospacing="0" w:line="200" w:lineRule="atLeast"/>
        <w:jc w:val="both"/>
        <w:rPr>
          <w:rFonts w:ascii="Verdana" w:hAnsi="Verdana"/>
          <w:sz w:val="16"/>
          <w:szCs w:val="24"/>
          <w:lang w:val="en-GB" w:eastAsia="da-DK"/>
        </w:rPr>
      </w:pPr>
      <w:r w:rsidRPr="00DF52BC">
        <w:rPr>
          <w:rFonts w:ascii="Verdana" w:hAnsi="Verdana"/>
          <w:b/>
          <w:sz w:val="14"/>
          <w:lang w:val="en-GB" w:eastAsia="da-DK"/>
        </w:rPr>
        <w:t xml:space="preserve">Abstract </w:t>
      </w:r>
      <w:r w:rsidR="00D54350" w:rsidRPr="00DF52BC">
        <w:rPr>
          <w:rFonts w:ascii="Verdana" w:hAnsi="Verdana"/>
          <w:b/>
          <w:sz w:val="14"/>
          <w:lang w:val="en-GB" w:eastAsia="da-DK"/>
        </w:rPr>
        <w:t>–</w:t>
      </w:r>
      <w:r w:rsidR="00E2153D" w:rsidRPr="00DF52BC">
        <w:rPr>
          <w:rFonts w:ascii="Verdana" w:hAnsi="Verdana"/>
          <w:b/>
          <w:sz w:val="14"/>
          <w:lang w:val="en-GB" w:eastAsia="da-DK"/>
        </w:rPr>
        <w:t xml:space="preserve"> In Southern and developing countries, the growth of Geographical Indications (GIs) is often supported by Western institutions, offering their know-how in that matter while also defending their own </w:t>
      </w:r>
      <w:r w:rsidR="00DF52BC" w:rsidRPr="00DF52BC">
        <w:rPr>
          <w:rFonts w:ascii="Verdana" w:hAnsi="Verdana"/>
          <w:b/>
          <w:sz w:val="14"/>
          <w:lang w:val="en-GB" w:eastAsia="da-DK"/>
        </w:rPr>
        <w:t>economic</w:t>
      </w:r>
      <w:r w:rsidR="00E2153D" w:rsidRPr="00DF52BC">
        <w:rPr>
          <w:rFonts w:ascii="Verdana" w:hAnsi="Verdana"/>
          <w:b/>
          <w:sz w:val="14"/>
          <w:lang w:val="en-GB" w:eastAsia="da-DK"/>
        </w:rPr>
        <w:t xml:space="preserve"> and political interests. This paper builds on </w:t>
      </w:r>
      <w:r w:rsidR="00B7152A" w:rsidRPr="00DF52BC">
        <w:rPr>
          <w:rFonts w:ascii="Verdana" w:hAnsi="Verdana"/>
          <w:b/>
          <w:sz w:val="14"/>
          <w:lang w:val="en-GB" w:eastAsia="da-DK"/>
        </w:rPr>
        <w:t xml:space="preserve">the </w:t>
      </w:r>
      <w:r w:rsidR="00DF52BC">
        <w:rPr>
          <w:rFonts w:ascii="Verdana" w:hAnsi="Verdana"/>
          <w:b/>
          <w:sz w:val="14"/>
          <w:lang w:val="en-GB" w:eastAsia="da-DK"/>
        </w:rPr>
        <w:t>case</w:t>
      </w:r>
      <w:r w:rsidR="00B7152A" w:rsidRPr="00DF52BC">
        <w:rPr>
          <w:rFonts w:ascii="Verdana" w:hAnsi="Verdana"/>
          <w:b/>
          <w:sz w:val="14"/>
          <w:lang w:val="en-GB" w:eastAsia="da-DK"/>
        </w:rPr>
        <w:t xml:space="preserve"> of </w:t>
      </w:r>
      <w:r w:rsidR="00E2153D" w:rsidRPr="00DF52BC">
        <w:rPr>
          <w:rFonts w:ascii="Verdana" w:hAnsi="Verdana"/>
          <w:b/>
          <w:sz w:val="14"/>
          <w:lang w:val="en-GB" w:eastAsia="da-DK"/>
        </w:rPr>
        <w:t xml:space="preserve">the establishment of Ecuador's GIs and questions how it </w:t>
      </w:r>
      <w:r w:rsidR="00B7152A" w:rsidRPr="00DF52BC">
        <w:rPr>
          <w:rFonts w:ascii="Verdana" w:hAnsi="Verdana"/>
          <w:b/>
          <w:sz w:val="14"/>
          <w:lang w:val="en-GB" w:eastAsia="da-DK"/>
        </w:rPr>
        <w:t>was shaped thanks to the assistance from the French National Institute of Origin and Quality (INAO), thus adopting French models for its GI laws, regulations, and practices. We show</w:t>
      </w:r>
      <w:r w:rsidR="00E2153D" w:rsidRPr="00DF52BC">
        <w:rPr>
          <w:rFonts w:ascii="Verdana" w:hAnsi="Verdana"/>
          <w:b/>
          <w:sz w:val="14"/>
          <w:lang w:val="en-GB" w:eastAsia="da-DK"/>
        </w:rPr>
        <w:t xml:space="preserve"> how the blanket adoption of a European model for management of the Galápagos coffee GI failed to consider the islands' heritage, the challenges of the Galápagos coffee sector, and the capacity of the collective producer organization to manage production and commercialization under the label. This example highlights the need to consider cultural, </w:t>
      </w:r>
      <w:r w:rsidR="00DF52BC" w:rsidRPr="00DF52BC">
        <w:rPr>
          <w:rFonts w:ascii="Verdana" w:hAnsi="Verdana"/>
          <w:b/>
          <w:sz w:val="14"/>
          <w:lang w:val="en-GB" w:eastAsia="da-DK"/>
        </w:rPr>
        <w:t>political,</w:t>
      </w:r>
      <w:r w:rsidR="00E2153D" w:rsidRPr="00DF52BC">
        <w:rPr>
          <w:rFonts w:ascii="Verdana" w:hAnsi="Verdana"/>
          <w:b/>
          <w:sz w:val="14"/>
          <w:lang w:val="en-GB" w:eastAsia="da-DK"/>
        </w:rPr>
        <w:t xml:space="preserve"> and social constraints in the definition of GIs so that they can play a role as rural development tools.</w:t>
      </w:r>
    </w:p>
    <w:p w14:paraId="6A01874A" w14:textId="06E7D68E" w:rsidR="00B7152A" w:rsidRDefault="008B0641" w:rsidP="00540A1D">
      <w:pPr>
        <w:pStyle w:val="Normaltext"/>
        <w:rPr>
          <w:b/>
          <w:sz w:val="14"/>
          <w:szCs w:val="20"/>
        </w:rPr>
      </w:pPr>
      <w:r w:rsidRPr="00DF52BC">
        <w:rPr>
          <w:b/>
          <w:i/>
          <w:iCs/>
          <w:sz w:val="14"/>
          <w:szCs w:val="20"/>
        </w:rPr>
        <w:t>Keywords</w:t>
      </w:r>
      <w:r w:rsidR="00F7029F" w:rsidRPr="00DF52BC">
        <w:rPr>
          <w:b/>
          <w:i/>
          <w:iCs/>
          <w:sz w:val="14"/>
          <w:szCs w:val="20"/>
        </w:rPr>
        <w:t xml:space="preserve"> </w:t>
      </w:r>
      <w:r w:rsidR="00F7029F" w:rsidRPr="00DF52BC">
        <w:rPr>
          <w:i/>
          <w:iCs/>
        </w:rPr>
        <w:t>–</w:t>
      </w:r>
      <w:r w:rsidR="00B7152A" w:rsidRPr="00DF52BC">
        <w:rPr>
          <w:i/>
          <w:iCs/>
        </w:rPr>
        <w:t xml:space="preserve"> </w:t>
      </w:r>
      <w:r w:rsidR="00B7152A" w:rsidRPr="00DF52BC">
        <w:rPr>
          <w:b/>
          <w:sz w:val="14"/>
          <w:szCs w:val="20"/>
        </w:rPr>
        <w:t xml:space="preserve">Galápagos </w:t>
      </w:r>
      <w:r w:rsidR="00DF52BC" w:rsidRPr="00DF52BC">
        <w:rPr>
          <w:b/>
          <w:sz w:val="14"/>
          <w:szCs w:val="20"/>
        </w:rPr>
        <w:t>coffee;</w:t>
      </w:r>
      <w:r w:rsidR="00B7152A" w:rsidRPr="00DF52BC">
        <w:rPr>
          <w:b/>
          <w:sz w:val="14"/>
          <w:szCs w:val="20"/>
        </w:rPr>
        <w:t xml:space="preserve"> policy model; </w:t>
      </w:r>
      <w:r w:rsidR="00DF52BC">
        <w:rPr>
          <w:b/>
          <w:sz w:val="14"/>
          <w:szCs w:val="20"/>
        </w:rPr>
        <w:t xml:space="preserve">policy diffusion; knowledge </w:t>
      </w:r>
      <w:r w:rsidR="00B7152A" w:rsidRPr="00DF52BC">
        <w:rPr>
          <w:b/>
          <w:sz w:val="14"/>
          <w:szCs w:val="20"/>
        </w:rPr>
        <w:t>transfer; Ecuador.</w:t>
      </w:r>
      <w:r w:rsidRPr="00DF52BC">
        <w:rPr>
          <w:b/>
          <w:sz w:val="14"/>
          <w:szCs w:val="20"/>
        </w:rPr>
        <w:t xml:space="preserve"> </w:t>
      </w:r>
    </w:p>
    <w:p w14:paraId="071ECAE6" w14:textId="77777777" w:rsidR="00540A1D" w:rsidRPr="004B0F43" w:rsidRDefault="00540A1D" w:rsidP="004B0F43">
      <w:pPr>
        <w:rPr>
          <w:sz w:val="11"/>
        </w:rPr>
      </w:pPr>
    </w:p>
    <w:p w14:paraId="57B01712" w14:textId="77777777" w:rsidR="007F423C" w:rsidRPr="00DF52BC" w:rsidRDefault="007F423C" w:rsidP="00E2153D">
      <w:pPr>
        <w:pStyle w:val="berschrift11"/>
        <w:rPr>
          <w:b/>
          <w:color w:val="C0504D" w:themeColor="accent2"/>
        </w:rPr>
      </w:pPr>
      <w:r w:rsidRPr="00DF52BC">
        <w:rPr>
          <w:b/>
          <w:color w:val="C0504D" w:themeColor="accent2"/>
        </w:rPr>
        <w:t>Introduction</w:t>
      </w:r>
      <w:r w:rsidR="00D7446A" w:rsidRPr="00DF52BC">
        <w:rPr>
          <w:b/>
          <w:color w:val="C0504D" w:themeColor="accent2"/>
        </w:rPr>
        <w:t xml:space="preserve"> </w:t>
      </w:r>
    </w:p>
    <w:p w14:paraId="249D785F" w14:textId="2CBB2221" w:rsidR="00C4605B" w:rsidRPr="00DF52BC" w:rsidRDefault="00E2153D" w:rsidP="00E2153D">
      <w:pPr>
        <w:pStyle w:val="NormalWeb"/>
        <w:spacing w:before="0" w:beforeAutospacing="0" w:after="0" w:afterAutospacing="0" w:line="220" w:lineRule="atLeast"/>
        <w:jc w:val="both"/>
        <w:rPr>
          <w:rFonts w:ascii="Verdana" w:hAnsi="Verdana"/>
          <w:sz w:val="16"/>
          <w:szCs w:val="24"/>
          <w:lang w:val="en-GB" w:eastAsia="da-DK"/>
        </w:rPr>
      </w:pPr>
      <w:r w:rsidRPr="00DF52BC">
        <w:rPr>
          <w:rFonts w:ascii="Verdana" w:hAnsi="Verdana"/>
          <w:sz w:val="16"/>
          <w:szCs w:val="24"/>
          <w:lang w:val="en-GB" w:eastAsia="da-DK"/>
        </w:rPr>
        <w:t xml:space="preserve">Geographical Indications (GIs) are increasing worldwide, as they are supposed to allow </w:t>
      </w:r>
      <w:r w:rsidR="00DC5DF0">
        <w:rPr>
          <w:rFonts w:ascii="Verdana" w:hAnsi="Verdana"/>
          <w:sz w:val="16"/>
          <w:szCs w:val="24"/>
          <w:lang w:val="en-GB" w:eastAsia="da-DK"/>
        </w:rPr>
        <w:t>a</w:t>
      </w:r>
      <w:r w:rsidR="00DC5DF0" w:rsidRPr="00DF52BC">
        <w:rPr>
          <w:rFonts w:ascii="Verdana" w:hAnsi="Verdana"/>
          <w:sz w:val="16"/>
          <w:szCs w:val="24"/>
          <w:lang w:val="en-GB" w:eastAsia="da-DK"/>
        </w:rPr>
        <w:t xml:space="preserve"> </w:t>
      </w:r>
      <w:r w:rsidRPr="00DF52BC">
        <w:rPr>
          <w:rFonts w:ascii="Verdana" w:hAnsi="Verdana"/>
          <w:sz w:val="16"/>
          <w:szCs w:val="24"/>
          <w:lang w:val="en-GB" w:eastAsia="da-DK"/>
        </w:rPr>
        <w:t>better protection of agro-food heritage and</w:t>
      </w:r>
      <w:r w:rsidR="004F60E8" w:rsidRPr="00DF52BC">
        <w:rPr>
          <w:rFonts w:ascii="Verdana" w:hAnsi="Verdana"/>
          <w:sz w:val="16"/>
          <w:szCs w:val="24"/>
          <w:lang w:val="en-GB" w:eastAsia="da-DK"/>
        </w:rPr>
        <w:t xml:space="preserve"> to stimulate rural development</w:t>
      </w:r>
      <w:r w:rsidR="00C55623">
        <w:rPr>
          <w:rFonts w:ascii="Verdana" w:hAnsi="Verdana"/>
          <w:sz w:val="16"/>
          <w:szCs w:val="24"/>
          <w:lang w:val="en-GB" w:eastAsia="da-DK"/>
        </w:rPr>
        <w:t xml:space="preserve"> (</w:t>
      </w:r>
      <w:proofErr w:type="spellStart"/>
      <w:r w:rsidR="00C55623">
        <w:rPr>
          <w:rFonts w:ascii="Verdana" w:hAnsi="Verdana"/>
          <w:sz w:val="16"/>
          <w:szCs w:val="24"/>
          <w:lang w:val="en-GB" w:eastAsia="da-DK"/>
        </w:rPr>
        <w:t>Belletti</w:t>
      </w:r>
      <w:proofErr w:type="spellEnd"/>
      <w:r w:rsidR="00C55623">
        <w:rPr>
          <w:rFonts w:ascii="Verdana" w:hAnsi="Verdana"/>
          <w:sz w:val="16"/>
          <w:szCs w:val="24"/>
          <w:lang w:val="en-GB" w:eastAsia="da-DK"/>
        </w:rPr>
        <w:t xml:space="preserve">, </w:t>
      </w:r>
      <w:proofErr w:type="spellStart"/>
      <w:r w:rsidR="00C55623">
        <w:rPr>
          <w:rFonts w:ascii="Verdana" w:hAnsi="Verdana"/>
          <w:sz w:val="16"/>
          <w:szCs w:val="24"/>
          <w:lang w:val="en-GB" w:eastAsia="da-DK"/>
        </w:rPr>
        <w:t>Marescotti</w:t>
      </w:r>
      <w:proofErr w:type="spellEnd"/>
      <w:r w:rsidR="00C55623">
        <w:rPr>
          <w:rFonts w:ascii="Verdana" w:hAnsi="Verdana"/>
          <w:sz w:val="16"/>
          <w:szCs w:val="24"/>
          <w:lang w:val="en-GB" w:eastAsia="da-DK"/>
        </w:rPr>
        <w:t xml:space="preserve">, &amp; </w:t>
      </w:r>
      <w:proofErr w:type="spellStart"/>
      <w:r w:rsidR="00C55623">
        <w:rPr>
          <w:rFonts w:ascii="Verdana" w:hAnsi="Verdana"/>
          <w:sz w:val="16"/>
          <w:szCs w:val="24"/>
          <w:lang w:val="en-GB" w:eastAsia="da-DK"/>
        </w:rPr>
        <w:t>Touzard</w:t>
      </w:r>
      <w:proofErr w:type="spellEnd"/>
      <w:r w:rsidR="00C55623">
        <w:rPr>
          <w:rFonts w:ascii="Verdana" w:hAnsi="Verdana"/>
          <w:sz w:val="16"/>
          <w:szCs w:val="24"/>
          <w:lang w:val="en-GB" w:eastAsia="da-DK"/>
        </w:rPr>
        <w:t>, 2017)</w:t>
      </w:r>
      <w:r w:rsidR="004F60E8" w:rsidRPr="00DF52BC">
        <w:rPr>
          <w:rFonts w:ascii="Verdana" w:hAnsi="Verdana"/>
          <w:sz w:val="16"/>
          <w:szCs w:val="24"/>
          <w:lang w:val="en-GB" w:eastAsia="da-DK"/>
        </w:rPr>
        <w:t xml:space="preserve">. National governments, development agencies, and international organizations within the European Union (EU) have pushed for expanding the recognition and application of GIs in </w:t>
      </w:r>
      <w:r w:rsidRPr="00DF52BC">
        <w:rPr>
          <w:rFonts w:ascii="Verdana" w:hAnsi="Verdana"/>
          <w:sz w:val="16"/>
          <w:szCs w:val="24"/>
          <w:lang w:val="en-GB" w:eastAsia="da-DK"/>
        </w:rPr>
        <w:t>Southern and developing countries</w:t>
      </w:r>
      <w:r w:rsidR="00C4605B" w:rsidRPr="00DF52BC">
        <w:rPr>
          <w:rFonts w:ascii="Verdana" w:hAnsi="Verdana"/>
          <w:sz w:val="16"/>
          <w:szCs w:val="24"/>
          <w:lang w:val="en-GB" w:eastAsia="da-DK"/>
        </w:rPr>
        <w:t xml:space="preserve">. </w:t>
      </w:r>
      <w:r w:rsidR="004F60E8" w:rsidRPr="00DF52BC">
        <w:rPr>
          <w:rFonts w:ascii="Verdana" w:hAnsi="Verdana"/>
          <w:sz w:val="16"/>
          <w:szCs w:val="24"/>
          <w:lang w:val="en-GB" w:eastAsia="da-DK"/>
        </w:rPr>
        <w:t>In those contexts, the</w:t>
      </w:r>
      <w:r w:rsidRPr="00DF52BC">
        <w:rPr>
          <w:rFonts w:ascii="Verdana" w:hAnsi="Verdana"/>
          <w:sz w:val="16"/>
          <w:szCs w:val="24"/>
          <w:lang w:val="en-GB" w:eastAsia="da-DK"/>
        </w:rPr>
        <w:t xml:space="preserve"> growth</w:t>
      </w:r>
      <w:r w:rsidR="004F60E8" w:rsidRPr="00DF52BC">
        <w:rPr>
          <w:rFonts w:ascii="Verdana" w:hAnsi="Verdana"/>
          <w:sz w:val="16"/>
          <w:szCs w:val="24"/>
          <w:lang w:val="en-GB" w:eastAsia="da-DK"/>
        </w:rPr>
        <w:t xml:space="preserve"> of the GI system</w:t>
      </w:r>
      <w:r w:rsidRPr="00DF52BC">
        <w:rPr>
          <w:rFonts w:ascii="Verdana" w:hAnsi="Verdana"/>
          <w:sz w:val="16"/>
          <w:szCs w:val="24"/>
          <w:lang w:val="en-GB" w:eastAsia="da-DK"/>
        </w:rPr>
        <w:t xml:space="preserve"> is often supported by Western countries or institutions,</w:t>
      </w:r>
      <w:r w:rsidR="00DC5DF0">
        <w:rPr>
          <w:rFonts w:ascii="Verdana" w:hAnsi="Verdana"/>
          <w:sz w:val="16"/>
          <w:szCs w:val="24"/>
          <w:lang w:val="en-GB" w:eastAsia="da-DK"/>
        </w:rPr>
        <w:t xml:space="preserve"> who are</w:t>
      </w:r>
      <w:r w:rsidRPr="00DF52BC">
        <w:rPr>
          <w:rFonts w:ascii="Verdana" w:hAnsi="Verdana"/>
          <w:sz w:val="16"/>
          <w:szCs w:val="24"/>
          <w:lang w:val="en-GB" w:eastAsia="da-DK"/>
        </w:rPr>
        <w:t xml:space="preserve"> offering their know-how in that matter while also defending their own </w:t>
      </w:r>
      <w:r w:rsidR="00DF52BC" w:rsidRPr="00DF52BC">
        <w:rPr>
          <w:rFonts w:ascii="Verdana" w:hAnsi="Verdana"/>
          <w:sz w:val="16"/>
          <w:szCs w:val="24"/>
          <w:lang w:val="en-GB" w:eastAsia="da-DK"/>
        </w:rPr>
        <w:t>economic</w:t>
      </w:r>
      <w:r w:rsidRPr="00DF52BC">
        <w:rPr>
          <w:rFonts w:ascii="Verdana" w:hAnsi="Verdana"/>
          <w:sz w:val="16"/>
          <w:szCs w:val="24"/>
          <w:lang w:val="en-GB" w:eastAsia="da-DK"/>
        </w:rPr>
        <w:t xml:space="preserve"> and political interests. </w:t>
      </w:r>
      <w:r w:rsidR="00C4605B" w:rsidRPr="00DF52BC">
        <w:rPr>
          <w:rFonts w:ascii="Verdana" w:hAnsi="Verdana"/>
          <w:sz w:val="16"/>
          <w:szCs w:val="24"/>
          <w:lang w:val="en-GB" w:eastAsia="da-DK"/>
        </w:rPr>
        <w:t>For instance, Ecuador has proceeded since 2009 to develop GIs through assistance from a French institution, the National Institute of Origin and Quality (INAO), thus adopting French models for its GI laws, regulations, and specifications for products and productions practices. Under this initiative, the country has established six recognized GIs.</w:t>
      </w:r>
    </w:p>
    <w:p w14:paraId="78EC620D" w14:textId="6CEB058C" w:rsidR="00C4605B" w:rsidRPr="00DF52BC" w:rsidRDefault="00C4605B" w:rsidP="00C4605B">
      <w:pPr>
        <w:pStyle w:val="NormalWeb"/>
        <w:spacing w:before="0" w:beforeAutospacing="0" w:after="0" w:afterAutospacing="0" w:line="220" w:lineRule="atLeast"/>
        <w:ind w:firstLine="284"/>
        <w:jc w:val="both"/>
        <w:rPr>
          <w:rFonts w:ascii="Verdana" w:hAnsi="Verdana"/>
          <w:sz w:val="16"/>
          <w:szCs w:val="24"/>
          <w:lang w:val="en-GB" w:eastAsia="da-DK"/>
        </w:rPr>
      </w:pPr>
      <w:r w:rsidRPr="00DF52BC">
        <w:rPr>
          <w:rFonts w:ascii="Verdana" w:hAnsi="Verdana"/>
          <w:sz w:val="16"/>
          <w:szCs w:val="24"/>
          <w:lang w:val="en-GB" w:eastAsia="da-DK"/>
        </w:rPr>
        <w:t xml:space="preserve">While much scholarship has explored GIs in developing contexts, including addressing the economic </w:t>
      </w:r>
      <w:r w:rsidR="00DF52BC" w:rsidRPr="00DF52BC">
        <w:rPr>
          <w:rFonts w:ascii="Verdana" w:hAnsi="Verdana"/>
          <w:sz w:val="16"/>
          <w:szCs w:val="24"/>
          <w:lang w:val="en-GB" w:eastAsia="da-DK"/>
        </w:rPr>
        <w:t>trade-offs</w:t>
      </w:r>
      <w:r w:rsidRPr="00DF52BC">
        <w:rPr>
          <w:rFonts w:ascii="Verdana" w:hAnsi="Verdana"/>
          <w:sz w:val="16"/>
          <w:szCs w:val="24"/>
          <w:lang w:val="en-GB" w:eastAsia="da-DK"/>
        </w:rPr>
        <w:t xml:space="preserve"> for states and producers and the role of state institutions and legal structures in supporting development objectives</w:t>
      </w:r>
      <w:r w:rsidR="00C46AD9">
        <w:rPr>
          <w:rFonts w:ascii="Verdana" w:hAnsi="Verdana"/>
          <w:sz w:val="16"/>
          <w:szCs w:val="24"/>
          <w:lang w:val="en-GB" w:eastAsia="da-DK"/>
        </w:rPr>
        <w:t xml:space="preserve"> (Bowen, 2015; Marie-Vivien &amp; </w:t>
      </w:r>
      <w:proofErr w:type="spellStart"/>
      <w:r w:rsidR="00C46AD9">
        <w:rPr>
          <w:rFonts w:ascii="Verdana" w:hAnsi="Verdana"/>
          <w:sz w:val="16"/>
          <w:szCs w:val="24"/>
          <w:lang w:val="en-GB" w:eastAsia="da-DK"/>
        </w:rPr>
        <w:t>Biénabe</w:t>
      </w:r>
      <w:proofErr w:type="spellEnd"/>
      <w:r w:rsidR="00C46AD9">
        <w:rPr>
          <w:rFonts w:ascii="Verdana" w:hAnsi="Verdana"/>
          <w:sz w:val="16"/>
          <w:szCs w:val="24"/>
          <w:lang w:val="en-GB" w:eastAsia="da-DK"/>
        </w:rPr>
        <w:t>, 2017)</w:t>
      </w:r>
      <w:r w:rsidRPr="00DF52BC">
        <w:rPr>
          <w:rFonts w:ascii="Verdana" w:hAnsi="Verdana"/>
          <w:sz w:val="16"/>
          <w:szCs w:val="24"/>
          <w:lang w:val="en-GB" w:eastAsia="da-DK"/>
        </w:rPr>
        <w:t xml:space="preserve">, there has not been concomitant attention to the processes through which geographic </w:t>
      </w:r>
      <w:r w:rsidR="00DF52BC" w:rsidRPr="00DF52BC">
        <w:rPr>
          <w:rFonts w:ascii="Verdana" w:hAnsi="Verdana"/>
          <w:sz w:val="16"/>
          <w:szCs w:val="24"/>
          <w:lang w:val="en-GB" w:eastAsia="da-DK"/>
        </w:rPr>
        <w:t>labelling</w:t>
      </w:r>
      <w:r w:rsidRPr="00DF52BC">
        <w:rPr>
          <w:rFonts w:ascii="Verdana" w:hAnsi="Verdana"/>
          <w:sz w:val="16"/>
          <w:szCs w:val="24"/>
          <w:lang w:val="en-GB" w:eastAsia="da-DK"/>
        </w:rPr>
        <w:t xml:space="preserve"> as a policy prescription is taken up by policymakers or understood as a template for new institutions, regulations, and policy initiatives.</w:t>
      </w:r>
    </w:p>
    <w:p w14:paraId="1C754755" w14:textId="35241D5C" w:rsidR="00F45DCA" w:rsidRPr="00DF52BC" w:rsidRDefault="00E2153D" w:rsidP="00F45DCA">
      <w:pPr>
        <w:pStyle w:val="NormalWeb"/>
        <w:spacing w:before="0" w:beforeAutospacing="0" w:after="0" w:afterAutospacing="0" w:line="220" w:lineRule="atLeast"/>
        <w:ind w:firstLine="284"/>
        <w:jc w:val="both"/>
        <w:rPr>
          <w:rFonts w:ascii="Verdana" w:hAnsi="Verdana"/>
          <w:sz w:val="16"/>
          <w:szCs w:val="24"/>
          <w:lang w:val="en-GB" w:eastAsia="da-DK"/>
        </w:rPr>
      </w:pPr>
      <w:r w:rsidRPr="00DF52BC">
        <w:rPr>
          <w:rFonts w:ascii="Verdana" w:hAnsi="Verdana"/>
          <w:sz w:val="16"/>
          <w:szCs w:val="24"/>
          <w:lang w:val="en-GB" w:eastAsia="da-DK"/>
        </w:rPr>
        <w:t>E</w:t>
      </w:r>
      <w:r w:rsidR="00C4605B" w:rsidRPr="00DF52BC">
        <w:rPr>
          <w:rFonts w:ascii="Verdana" w:hAnsi="Verdana"/>
          <w:sz w:val="16"/>
          <w:szCs w:val="24"/>
          <w:lang w:val="en-GB" w:eastAsia="da-DK"/>
        </w:rPr>
        <w:t xml:space="preserve">cuador is </w:t>
      </w:r>
      <w:r w:rsidRPr="00DF52BC">
        <w:rPr>
          <w:rFonts w:ascii="Verdana" w:hAnsi="Verdana"/>
          <w:sz w:val="16"/>
          <w:szCs w:val="24"/>
          <w:lang w:val="en-GB" w:eastAsia="da-DK"/>
        </w:rPr>
        <w:t>a good case to interrogate the way GIs are adapted and implemented from Western to Southern countries, and to analyse their local ef</w:t>
      </w:r>
      <w:r w:rsidR="00F45DCA" w:rsidRPr="00DF52BC">
        <w:rPr>
          <w:rFonts w:ascii="Verdana" w:hAnsi="Verdana"/>
          <w:sz w:val="16"/>
          <w:szCs w:val="24"/>
          <w:lang w:val="en-GB" w:eastAsia="da-DK"/>
        </w:rPr>
        <w:t>fects. Building on the literature on policy diffusion (</w:t>
      </w:r>
      <w:r w:rsidR="009631B7">
        <w:rPr>
          <w:rFonts w:ascii="Verdana" w:hAnsi="Verdana"/>
          <w:sz w:val="16"/>
          <w:szCs w:val="24"/>
          <w:lang w:val="en-GB" w:eastAsia="da-DK"/>
        </w:rPr>
        <w:t xml:space="preserve">Dobbin, Simmons, &amp; Garret, 2007; </w:t>
      </w:r>
      <w:proofErr w:type="spellStart"/>
      <w:r w:rsidR="009631B7">
        <w:rPr>
          <w:rFonts w:ascii="Verdana" w:hAnsi="Verdana"/>
          <w:sz w:val="16"/>
          <w:szCs w:val="24"/>
          <w:lang w:val="en-GB" w:eastAsia="da-DK"/>
        </w:rPr>
        <w:t>Meseguer</w:t>
      </w:r>
      <w:proofErr w:type="spellEnd"/>
      <w:r w:rsidR="009631B7">
        <w:rPr>
          <w:rFonts w:ascii="Verdana" w:hAnsi="Verdana"/>
          <w:sz w:val="16"/>
          <w:szCs w:val="24"/>
          <w:lang w:val="en-GB" w:eastAsia="da-DK"/>
        </w:rPr>
        <w:t xml:space="preserve"> &amp; </w:t>
      </w:r>
      <w:proofErr w:type="spellStart"/>
      <w:r w:rsidR="009631B7">
        <w:rPr>
          <w:rFonts w:ascii="Verdana" w:hAnsi="Verdana"/>
          <w:sz w:val="16"/>
          <w:szCs w:val="24"/>
          <w:lang w:val="en-GB" w:eastAsia="da-DK"/>
        </w:rPr>
        <w:t>Gilardi</w:t>
      </w:r>
      <w:proofErr w:type="spellEnd"/>
      <w:r w:rsidR="009631B7">
        <w:rPr>
          <w:rFonts w:ascii="Verdana" w:hAnsi="Verdana"/>
          <w:sz w:val="16"/>
          <w:szCs w:val="24"/>
          <w:lang w:val="en-GB" w:eastAsia="da-DK"/>
        </w:rPr>
        <w:t>, 2009</w:t>
      </w:r>
      <w:r w:rsidR="00F45DCA" w:rsidRPr="00DF52BC">
        <w:rPr>
          <w:rFonts w:ascii="Verdana" w:hAnsi="Verdana"/>
          <w:sz w:val="16"/>
          <w:szCs w:val="24"/>
          <w:lang w:val="en-GB" w:eastAsia="da-DK"/>
        </w:rPr>
        <w:t>)</w:t>
      </w:r>
      <w:r w:rsidR="00DC5DF0">
        <w:rPr>
          <w:rFonts w:ascii="Verdana" w:hAnsi="Verdana"/>
          <w:sz w:val="16"/>
          <w:szCs w:val="24"/>
          <w:lang w:val="en-GB" w:eastAsia="da-DK"/>
        </w:rPr>
        <w:t>,</w:t>
      </w:r>
      <w:r w:rsidRPr="00DF52BC">
        <w:rPr>
          <w:rFonts w:ascii="Verdana" w:hAnsi="Verdana"/>
          <w:sz w:val="16"/>
          <w:szCs w:val="24"/>
          <w:lang w:val="en-GB" w:eastAsia="da-DK"/>
        </w:rPr>
        <w:t xml:space="preserve"> </w:t>
      </w:r>
      <w:r w:rsidRPr="00DF52BC">
        <w:rPr>
          <w:rFonts w:ascii="Verdana" w:hAnsi="Verdana"/>
          <w:sz w:val="16"/>
          <w:szCs w:val="24"/>
          <w:lang w:val="en-GB" w:eastAsia="da-DK"/>
        </w:rPr>
        <w:t>we propose</w:t>
      </w:r>
      <w:r w:rsidR="00DC5DF0" w:rsidRPr="00DF52BC">
        <w:rPr>
          <w:rFonts w:ascii="Verdana" w:hAnsi="Verdana"/>
          <w:sz w:val="16"/>
          <w:szCs w:val="24"/>
          <w:lang w:val="en-GB" w:eastAsia="da-DK"/>
        </w:rPr>
        <w:t>, in this paper,</w:t>
      </w:r>
      <w:r w:rsidRPr="00DF52BC">
        <w:rPr>
          <w:rFonts w:ascii="Verdana" w:hAnsi="Verdana"/>
          <w:sz w:val="16"/>
          <w:szCs w:val="24"/>
          <w:lang w:val="en-GB" w:eastAsia="da-DK"/>
        </w:rPr>
        <w:t xml:space="preserve"> to use the </w:t>
      </w:r>
      <w:r w:rsidR="00DF52BC" w:rsidRPr="00DF52BC">
        <w:rPr>
          <w:rFonts w:ascii="Verdana" w:hAnsi="Verdana"/>
          <w:sz w:val="16"/>
          <w:szCs w:val="24"/>
          <w:lang w:val="en-GB" w:eastAsia="da-DK"/>
        </w:rPr>
        <w:t>Ecuadorian</w:t>
      </w:r>
      <w:r w:rsidRPr="00DF52BC">
        <w:rPr>
          <w:rFonts w:ascii="Verdana" w:hAnsi="Verdana"/>
          <w:sz w:val="16"/>
          <w:szCs w:val="24"/>
          <w:lang w:val="en-GB" w:eastAsia="da-DK"/>
        </w:rPr>
        <w:t xml:space="preserve"> GI “Café de Galápagos” as a case study to explore the global diffusion of GI as a policy model for prote</w:t>
      </w:r>
      <w:r w:rsidR="00590F23" w:rsidRPr="00DF52BC">
        <w:rPr>
          <w:rFonts w:ascii="Verdana" w:hAnsi="Verdana"/>
          <w:sz w:val="16"/>
          <w:szCs w:val="24"/>
          <w:lang w:val="en-GB" w:eastAsia="da-DK"/>
        </w:rPr>
        <w:t>ction of agro-food heritage</w:t>
      </w:r>
      <w:r w:rsidR="00B166E0" w:rsidRPr="00DF52BC">
        <w:rPr>
          <w:rFonts w:ascii="Verdana" w:hAnsi="Verdana"/>
          <w:sz w:val="16"/>
          <w:szCs w:val="24"/>
          <w:lang w:val="en-GB" w:eastAsia="da-DK"/>
        </w:rPr>
        <w:t>.</w:t>
      </w:r>
    </w:p>
    <w:p w14:paraId="4244C038" w14:textId="7DDFDF8E" w:rsidR="00E2153D" w:rsidRPr="00DF52BC" w:rsidRDefault="004F60E8" w:rsidP="00F45DCA">
      <w:pPr>
        <w:pStyle w:val="NormalWeb"/>
        <w:spacing w:before="0" w:beforeAutospacing="0" w:after="0" w:afterAutospacing="0" w:line="220" w:lineRule="atLeast"/>
        <w:ind w:firstLine="284"/>
        <w:jc w:val="both"/>
        <w:rPr>
          <w:rFonts w:ascii="Verdana" w:hAnsi="Verdana"/>
          <w:sz w:val="16"/>
          <w:szCs w:val="24"/>
          <w:lang w:val="en-GB" w:eastAsia="da-DK"/>
        </w:rPr>
      </w:pPr>
      <w:r w:rsidRPr="00DF52BC">
        <w:rPr>
          <w:rFonts w:ascii="Verdana" w:hAnsi="Verdana"/>
          <w:sz w:val="16"/>
          <w:szCs w:val="24"/>
          <w:lang w:val="en-GB" w:eastAsia="da-DK"/>
        </w:rPr>
        <w:t xml:space="preserve">The rest of the paper </w:t>
      </w:r>
      <w:r w:rsidR="00E2153D" w:rsidRPr="00DF52BC">
        <w:rPr>
          <w:rFonts w:ascii="Verdana" w:hAnsi="Verdana"/>
          <w:sz w:val="16"/>
          <w:szCs w:val="24"/>
          <w:lang w:val="en-GB" w:eastAsia="da-DK"/>
        </w:rPr>
        <w:t>describe</w:t>
      </w:r>
      <w:r w:rsidRPr="00DF52BC">
        <w:rPr>
          <w:rFonts w:ascii="Verdana" w:hAnsi="Verdana"/>
          <w:sz w:val="16"/>
          <w:szCs w:val="24"/>
          <w:lang w:val="en-GB" w:eastAsia="da-DK"/>
        </w:rPr>
        <w:t>s</w:t>
      </w:r>
      <w:r w:rsidR="00E2153D" w:rsidRPr="00DF52BC">
        <w:rPr>
          <w:rFonts w:ascii="Verdana" w:hAnsi="Verdana"/>
          <w:sz w:val="16"/>
          <w:szCs w:val="24"/>
          <w:lang w:val="en-GB" w:eastAsia="da-DK"/>
        </w:rPr>
        <w:t xml:space="preserve"> </w:t>
      </w:r>
      <w:r w:rsidR="00F45DCA" w:rsidRPr="00DF52BC">
        <w:rPr>
          <w:rFonts w:ascii="Verdana" w:hAnsi="Verdana"/>
          <w:sz w:val="16"/>
          <w:szCs w:val="24"/>
          <w:lang w:val="en-GB" w:eastAsia="da-DK"/>
        </w:rPr>
        <w:t xml:space="preserve">the national regulatory context for GIs in Ecuador and the implementation of GI policy in the Galapagos Islands, in order to </w:t>
      </w:r>
      <w:r w:rsidR="009631B7">
        <w:rPr>
          <w:rFonts w:ascii="Verdana" w:hAnsi="Verdana"/>
          <w:sz w:val="16"/>
          <w:szCs w:val="24"/>
          <w:lang w:val="en-GB" w:eastAsia="da-DK"/>
        </w:rPr>
        <w:t>conclude with a</w:t>
      </w:r>
      <w:r w:rsidR="00F45DCA" w:rsidRPr="00DF52BC">
        <w:rPr>
          <w:rFonts w:ascii="Verdana" w:hAnsi="Verdana"/>
          <w:sz w:val="16"/>
          <w:szCs w:val="24"/>
          <w:lang w:val="en-GB" w:eastAsia="da-DK"/>
        </w:rPr>
        <w:t xml:space="preserve"> discuss</w:t>
      </w:r>
      <w:r w:rsidR="009631B7">
        <w:rPr>
          <w:rFonts w:ascii="Verdana" w:hAnsi="Verdana"/>
          <w:sz w:val="16"/>
          <w:szCs w:val="24"/>
          <w:lang w:val="en-GB" w:eastAsia="da-DK"/>
        </w:rPr>
        <w:t>ion of</w:t>
      </w:r>
      <w:r w:rsidR="00F45DCA" w:rsidRPr="00DF52BC">
        <w:rPr>
          <w:iCs/>
          <w:lang w:val="en-GB"/>
        </w:rPr>
        <w:t xml:space="preserve"> </w:t>
      </w:r>
      <w:r w:rsidR="00E2153D" w:rsidRPr="00DF52BC">
        <w:rPr>
          <w:rFonts w:ascii="Verdana" w:hAnsi="Verdana"/>
          <w:sz w:val="16"/>
          <w:szCs w:val="24"/>
          <w:lang w:val="en-GB" w:eastAsia="da-DK"/>
        </w:rPr>
        <w:t>the controversial results of an international policy transfer in this domain of rural development.</w:t>
      </w:r>
    </w:p>
    <w:p w14:paraId="628F0839" w14:textId="77777777" w:rsidR="00E2153D" w:rsidRPr="004B0F43" w:rsidRDefault="00E2153D" w:rsidP="004B0F43">
      <w:pPr>
        <w:rPr>
          <w:sz w:val="6"/>
          <w:lang w:val="en-GB"/>
        </w:rPr>
      </w:pPr>
    </w:p>
    <w:p w14:paraId="243B516B" w14:textId="77777777" w:rsidR="00E2153D" w:rsidRPr="00DF52BC" w:rsidRDefault="00E2153D" w:rsidP="00E2153D">
      <w:pPr>
        <w:pStyle w:val="berschrift11"/>
        <w:rPr>
          <w:b/>
          <w:color w:val="C0504D" w:themeColor="accent2"/>
        </w:rPr>
      </w:pPr>
      <w:r w:rsidRPr="00DF52BC">
        <w:rPr>
          <w:b/>
          <w:color w:val="C0504D" w:themeColor="accent2"/>
        </w:rPr>
        <w:t xml:space="preserve">Methods </w:t>
      </w:r>
    </w:p>
    <w:p w14:paraId="12AF4021" w14:textId="77777777" w:rsidR="00E2153D" w:rsidRPr="00DF52BC" w:rsidRDefault="00E2153D" w:rsidP="00E2153D">
      <w:pPr>
        <w:pStyle w:val="NormalWeb"/>
        <w:spacing w:before="0" w:beforeAutospacing="0" w:after="0" w:afterAutospacing="0" w:line="220" w:lineRule="atLeast"/>
        <w:jc w:val="both"/>
        <w:rPr>
          <w:rFonts w:ascii="Verdana" w:hAnsi="Verdana"/>
          <w:sz w:val="16"/>
          <w:szCs w:val="24"/>
          <w:lang w:val="en-GB" w:eastAsia="da-DK"/>
        </w:rPr>
      </w:pPr>
      <w:r w:rsidRPr="00DF52BC">
        <w:rPr>
          <w:rFonts w:ascii="Verdana" w:hAnsi="Verdana"/>
          <w:sz w:val="16"/>
          <w:szCs w:val="24"/>
          <w:lang w:val="en-GB" w:eastAsia="da-DK"/>
        </w:rPr>
        <w:t>In order to do this, we use data collected at two levels of policy implementation: 1) at the macro-level of Ecuador's legal context, membership in regional and international governance bodies and institutional structure of GI management; and, 2) at the micro-level through an in-depth exploration of the implementation of a GI label protecting coffee grown on the Galápagos Islands. These data were collected by means of interviews, documents analysis, and direct observation through several fieldwork periods in Ecuador, with respondents from national institutions in Quito and coffee producers, processors, and retailers in the Galapagos Islands.</w:t>
      </w:r>
    </w:p>
    <w:p w14:paraId="683BE5B0" w14:textId="77777777" w:rsidR="00E2153D" w:rsidRPr="004B0F43" w:rsidRDefault="00E2153D" w:rsidP="004B0F43">
      <w:pPr>
        <w:rPr>
          <w:sz w:val="8"/>
        </w:rPr>
      </w:pPr>
    </w:p>
    <w:p w14:paraId="5CE77783" w14:textId="77777777" w:rsidR="00E2153D" w:rsidRPr="00DF52BC" w:rsidRDefault="00E2153D" w:rsidP="00E2153D">
      <w:pPr>
        <w:pStyle w:val="berschrift11"/>
        <w:rPr>
          <w:b/>
          <w:color w:val="C0504D" w:themeColor="accent2"/>
        </w:rPr>
      </w:pPr>
      <w:r w:rsidRPr="00DF52BC">
        <w:rPr>
          <w:b/>
          <w:color w:val="C0504D" w:themeColor="accent2"/>
        </w:rPr>
        <w:t xml:space="preserve">Results </w:t>
      </w:r>
    </w:p>
    <w:p w14:paraId="36E0CFFB" w14:textId="77777777" w:rsidR="0070580C" w:rsidRPr="00DF52BC" w:rsidRDefault="0070580C" w:rsidP="0070580C">
      <w:pPr>
        <w:pStyle w:val="Normaltext"/>
        <w:tabs>
          <w:tab w:val="left" w:pos="240"/>
        </w:tabs>
        <w:rPr>
          <w:i/>
          <w:iCs/>
        </w:rPr>
      </w:pPr>
      <w:r w:rsidRPr="00DF52BC">
        <w:rPr>
          <w:i/>
          <w:iCs/>
        </w:rPr>
        <w:t>National regulatory context for GIs in Ecuador</w:t>
      </w:r>
    </w:p>
    <w:p w14:paraId="0982D6E8" w14:textId="77777777" w:rsidR="005A2D7D" w:rsidRPr="00DF52BC" w:rsidRDefault="00F45DCA">
      <w:pPr>
        <w:pStyle w:val="Normaltext"/>
      </w:pPr>
      <w:r w:rsidRPr="00DF52BC">
        <w:t>Ecuador’s economy is heavily dependent on its exports, mainly oil and agricultural production, such as bananas,</w:t>
      </w:r>
      <w:r w:rsidR="006757C1" w:rsidRPr="00DF52BC">
        <w:t xml:space="preserve"> shrimp, cacao, and coffee</w:t>
      </w:r>
      <w:r w:rsidRPr="00DF52BC">
        <w:t>. Thus, the government's agricultural policy tends to give a higher priority to large commodity chains over the small producers and local developments</w:t>
      </w:r>
      <w:r w:rsidR="006757C1" w:rsidRPr="00DF52BC">
        <w:t xml:space="preserve"> by promoting productivity and quality standards to secure exports</w:t>
      </w:r>
      <w:r w:rsidRPr="00DF52BC">
        <w:t xml:space="preserve"> (</w:t>
      </w:r>
      <w:r w:rsidR="006757C1" w:rsidRPr="00DF52BC">
        <w:t xml:space="preserve">see the Agricultural Policy 2020-2030). </w:t>
      </w:r>
    </w:p>
    <w:p w14:paraId="02BF097F" w14:textId="6C80E8CB" w:rsidR="00962AB0" w:rsidRPr="00DF52BC" w:rsidRDefault="006757C1" w:rsidP="005A2D7D">
      <w:pPr>
        <w:pStyle w:val="Normaltext"/>
        <w:ind w:firstLine="284"/>
      </w:pPr>
      <w:r w:rsidRPr="00DF52BC">
        <w:t xml:space="preserve">Although GIs are not a high priority for Ecuador, the country has </w:t>
      </w:r>
      <w:r w:rsidR="005A2D7D" w:rsidRPr="00DF52BC">
        <w:t xml:space="preserve">established </w:t>
      </w:r>
      <w:r w:rsidR="00236725">
        <w:t>six</w:t>
      </w:r>
      <w:r w:rsidR="005A2D7D" w:rsidRPr="00DF52BC">
        <w:t xml:space="preserve"> GIs since </w:t>
      </w:r>
      <w:r w:rsidRPr="00DF52BC">
        <w:t>2009</w:t>
      </w:r>
      <w:r w:rsidR="005A2D7D" w:rsidRPr="00DF52BC">
        <w:t xml:space="preserve">. The </w:t>
      </w:r>
      <w:r w:rsidR="00962AB0" w:rsidRPr="00DF52BC">
        <w:t xml:space="preserve">first </w:t>
      </w:r>
      <w:r w:rsidR="00236725">
        <w:t>two</w:t>
      </w:r>
      <w:r w:rsidR="00962AB0" w:rsidRPr="00DF52BC">
        <w:t xml:space="preserve"> GI</w:t>
      </w:r>
      <w:r w:rsidR="005A2D7D" w:rsidRPr="00DF52BC">
        <w:t xml:space="preserve">s to be registered were on </w:t>
      </w:r>
      <w:r w:rsidR="00962AB0" w:rsidRPr="00DF52BC">
        <w:t xml:space="preserve">iconic </w:t>
      </w:r>
      <w:r w:rsidR="005A2D7D" w:rsidRPr="00DF52BC">
        <w:t>export products,</w:t>
      </w:r>
      <w:r w:rsidRPr="00DF52BC">
        <w:t xml:space="preserve"> </w:t>
      </w:r>
      <w:r w:rsidR="005A2D7D" w:rsidRPr="00DF52BC">
        <w:t>“Cacao Arriba"</w:t>
      </w:r>
      <w:r w:rsidRPr="00DF52BC">
        <w:t xml:space="preserve"> and "Sombrero de Montecristi", commonly known as "Pan</w:t>
      </w:r>
      <w:r w:rsidR="005A2D7D" w:rsidRPr="00DF52BC">
        <w:t>ama Hat"</w:t>
      </w:r>
      <w:r w:rsidRPr="00DF52BC">
        <w:t>.</w:t>
      </w:r>
      <w:r w:rsidR="005A2D7D" w:rsidRPr="00DF52BC">
        <w:t xml:space="preserve"> </w:t>
      </w:r>
      <w:r w:rsidR="00962AB0" w:rsidRPr="00DF52BC">
        <w:t>The following products to be registered also had a high export interest, including two origin coffees</w:t>
      </w:r>
      <w:r w:rsidR="00DC5DF0">
        <w:t xml:space="preserve"> – </w:t>
      </w:r>
      <w:r w:rsidR="00962AB0" w:rsidRPr="00DF52BC">
        <w:t xml:space="preserve">coffee </w:t>
      </w:r>
      <w:r w:rsidR="00DC5DF0" w:rsidRPr="00DF52BC">
        <w:t xml:space="preserve">being </w:t>
      </w:r>
      <w:r w:rsidR="00962AB0" w:rsidRPr="00DF52BC">
        <w:t xml:space="preserve">one of Ecuador's major crop productions. </w:t>
      </w:r>
    </w:p>
    <w:p w14:paraId="55E69E4F" w14:textId="5B902A03" w:rsidR="00F45DCA" w:rsidRPr="00DF52BC" w:rsidRDefault="00962AB0" w:rsidP="005A2D7D">
      <w:pPr>
        <w:pStyle w:val="Normaltext"/>
        <w:ind w:firstLine="284"/>
      </w:pPr>
      <w:r w:rsidRPr="00DF52BC">
        <w:t xml:space="preserve">In the </w:t>
      </w:r>
      <w:r w:rsidR="00236725">
        <w:t>six</w:t>
      </w:r>
      <w:r w:rsidRPr="00DF52BC">
        <w:t xml:space="preserve"> established GIs, t</w:t>
      </w:r>
      <w:r w:rsidR="005A2D7D" w:rsidRPr="00DF52BC">
        <w:t xml:space="preserve">he processes of recognition, management, and administration have not been continuously monitored, essentially </w:t>
      </w:r>
      <w:r w:rsidR="00DC5DF0">
        <w:t>because of</w:t>
      </w:r>
      <w:r w:rsidR="00DC5DF0" w:rsidRPr="00DF52BC">
        <w:t xml:space="preserve"> </w:t>
      </w:r>
      <w:r w:rsidR="005A2D7D" w:rsidRPr="00DF52BC">
        <w:t xml:space="preserve">the lack of a dedicated </w:t>
      </w:r>
      <w:r w:rsidR="00CE4335" w:rsidRPr="00DF52BC">
        <w:t xml:space="preserve">strategy and </w:t>
      </w:r>
      <w:r w:rsidR="005A2D7D" w:rsidRPr="00DF52BC">
        <w:t>budget.</w:t>
      </w:r>
      <w:r w:rsidR="004D59B3" w:rsidRPr="00DF52BC">
        <w:t xml:space="preserve"> For instance, since 2019, the legal protection of DOs and GIs in Ecuador – previously entrusted to the National Service of Intellectual Rights (SENADI) - is under the responsibility of the inter-ministerial commission, with the aim of facilitating interinstitutional coordination. However, this committee does not have a specific budget to achieve such objectives. Moreover, </w:t>
      </w:r>
      <w:r w:rsidR="00DC5DF0">
        <w:t xml:space="preserve">neither </w:t>
      </w:r>
      <w:r w:rsidR="004D59B3" w:rsidRPr="00DF52BC">
        <w:t xml:space="preserve">the Ministry of Agriculture of Ecuador (MAG) </w:t>
      </w:r>
      <w:r w:rsidR="004D59B3" w:rsidRPr="00DF52BC">
        <w:lastRenderedPageBreak/>
        <w:t xml:space="preserve">nor </w:t>
      </w:r>
      <w:r w:rsidR="00B17935">
        <w:t xml:space="preserve">the </w:t>
      </w:r>
      <w:r w:rsidR="004D59B3" w:rsidRPr="00DF52BC">
        <w:t>SENADI have the budget to send technicians to carry out the inspections of compliance of GIs producers with specifications. Another weakness of the system relies in the fact that</w:t>
      </w:r>
      <w:r w:rsidR="00CE4335" w:rsidRPr="00DF52BC">
        <w:t xml:space="preserve"> in the majority of the GI specifications, the link between the quality of a product and its place of origin is weak, </w:t>
      </w:r>
      <w:r w:rsidR="00B17935">
        <w:t>as there is a</w:t>
      </w:r>
      <w:r w:rsidR="00B17935" w:rsidRPr="00DF52BC">
        <w:t xml:space="preserve"> </w:t>
      </w:r>
      <w:r w:rsidR="00CE4335" w:rsidRPr="00DF52BC">
        <w:t xml:space="preserve">lack of solid scientific basis. For example, the Cacao Arriba could potentially be produced in the whole subtropical area of the country. </w:t>
      </w:r>
    </w:p>
    <w:p w14:paraId="3441FA2F" w14:textId="77777777" w:rsidR="00F45DCA" w:rsidRPr="004B0F43" w:rsidRDefault="00F45DCA" w:rsidP="004B0F43">
      <w:pPr>
        <w:rPr>
          <w:sz w:val="11"/>
        </w:rPr>
      </w:pPr>
    </w:p>
    <w:p w14:paraId="606790E4" w14:textId="27C28EE6" w:rsidR="00E2153D" w:rsidRPr="00DF52BC" w:rsidRDefault="0070580C">
      <w:pPr>
        <w:pStyle w:val="Normaltext"/>
        <w:rPr>
          <w:i/>
          <w:iCs/>
        </w:rPr>
      </w:pPr>
      <w:r w:rsidRPr="00DF52BC">
        <w:rPr>
          <w:i/>
          <w:iCs/>
        </w:rPr>
        <w:t xml:space="preserve">Implementation of GI policy in the Galapagos </w:t>
      </w:r>
    </w:p>
    <w:p w14:paraId="0DA49806" w14:textId="184360B6" w:rsidR="001975E2" w:rsidRPr="00DF52BC" w:rsidRDefault="00CE4335">
      <w:pPr>
        <w:pStyle w:val="Normaltext"/>
      </w:pPr>
      <w:r w:rsidRPr="00DF52BC">
        <w:t xml:space="preserve">The 19 islands of the volcanic archipelago of the Galapagos are especially renowned for their natural heritage that supports an important tourism industry. </w:t>
      </w:r>
      <w:r w:rsidR="0013707B" w:rsidRPr="00DF52BC">
        <w:t>Although</w:t>
      </w:r>
      <w:r w:rsidRPr="00DF52BC">
        <w:t xml:space="preserve"> agriculture only accounts for 3% of the archipelago's surface area </w:t>
      </w:r>
      <w:r w:rsidRPr="00DF52BC">
        <w:fldChar w:fldCharType="begin"/>
      </w:r>
      <w:r w:rsidRPr="00DF52BC">
        <w:instrText xml:space="preserve"> ADDIN ZOTERO_ITEM CSL_CITATION {"citationID":"P7Bn20d4","properties":{"formattedCitation":"(INIAP et al., 2019)","plainCitation":"(INIAP et al., 2019)","noteIndex":0},"citationItems":[{"id":1077,"uris":["http://zotero.org/users/5126088/items/2BH6HGLG"],"uri":["http://zotero.org/users/5126088/items/2BH6HGLG"],"itemData":{"id":1077,"type":"book","edition":"Arcoiris. Producción Grafica.","event-place":"Quito - Ecuador","language":"Spanish","publisher-place":"Quito - Ecuador","title":"Productividad y sostenibilidad de los sistemas de producción agropecuaria de las islas Galápagos-Ecuador. National Institute of Agricultural Research of Ecuador","author":[{"family":"INIAP","given":""},{"family":"Valverde","given":"Mauricio"},{"family":"Escudero","given":"Luis"},{"family":"Allauca","given":"Juan"},{"family":"Barrera","given":"Vinicio"}],"issued":{"date-parts":[["2019"]]}}}],"schema":"https://github.com/citation-style-language/schema/raw/master/csl-citation.json"} </w:instrText>
      </w:r>
      <w:r w:rsidRPr="00DF52BC">
        <w:fldChar w:fldCharType="separate"/>
      </w:r>
      <w:r w:rsidRPr="00DF52BC">
        <w:t>(INIAP et al., 2019)</w:t>
      </w:r>
      <w:r w:rsidRPr="00DF52BC">
        <w:fldChar w:fldCharType="end"/>
      </w:r>
      <w:r w:rsidRPr="00DF52BC">
        <w:t xml:space="preserve">, the Galapagos have a renowned agricultural product: </w:t>
      </w:r>
      <w:r w:rsidR="00B17935">
        <w:t xml:space="preserve">the </w:t>
      </w:r>
      <w:r w:rsidRPr="00DF52BC">
        <w:t>coffee.</w:t>
      </w:r>
      <w:r w:rsidR="00EA2DBB" w:rsidRPr="00DF52BC">
        <w:t xml:space="preserve"> Volcanic soil and a specific subtropical climate allow the growth of Arabica beans between 200 and 500 </w:t>
      </w:r>
      <w:proofErr w:type="spellStart"/>
      <w:r w:rsidR="00EA2DBB" w:rsidRPr="00DF52BC">
        <w:t>m.a.s.l</w:t>
      </w:r>
      <w:proofErr w:type="spellEnd"/>
      <w:r w:rsidR="00EA2DBB" w:rsidRPr="00DF52BC">
        <w:t>.</w:t>
      </w:r>
      <w:r w:rsidR="00B17935">
        <w:t>, which</w:t>
      </w:r>
      <w:r w:rsidR="00EA2DBB" w:rsidRPr="00DF52BC">
        <w:t xml:space="preserve"> make</w:t>
      </w:r>
      <w:r w:rsidR="00B17935">
        <w:t>s</w:t>
      </w:r>
      <w:r w:rsidR="00EA2DBB" w:rsidRPr="00DF52BC">
        <w:t xml:space="preserve"> the originality of this coffee. About 135 farms annually produce approximately 3,900 quintals of coffee, that corresponds to 1% of the national coffee production </w:t>
      </w:r>
      <w:r w:rsidR="00EA2DBB" w:rsidRPr="00DF52BC">
        <w:fldChar w:fldCharType="begin"/>
      </w:r>
      <w:r w:rsidR="00EA2DBB" w:rsidRPr="00DF52BC">
        <w:instrText xml:space="preserve"> ADDIN ZOTERO_ITEM CSL_CITATION {"citationID":"CHzBzm4V","properties":{"formattedCitation":"(Ministry of Agriculture of Ecuador, 2018)","plainCitation":"(Ministry of Agriculture of Ecuador, 2018)","noteIndex":0},"citationItems":[{"id":1010,"uris":["http://zotero.org/users/5126088/items/6TNLMDFZ"],"uri":["http://zotero.org/users/5126088/items/6TNLMDFZ"],"itemData":{"id":1010,"type":"article","language":"Español","publisher":"Ministerio Agricultura, Oficina Islas Galápagos.","title":"Catastro Productores de Café en Las Islas Galápagos.","title-short":"Catastro Productores","author":[{"family":"Ministry of Agriculture of Ecuador","given":""}],"issued":{"date-parts":[["2018",8,20]]}}}],"schema":"https://github.com/citation-style-language/schema/raw/master/csl-citation.json"} </w:instrText>
      </w:r>
      <w:r w:rsidR="00EA2DBB" w:rsidRPr="00DF52BC">
        <w:fldChar w:fldCharType="separate"/>
      </w:r>
      <w:r w:rsidR="00EA2DBB" w:rsidRPr="00DF52BC">
        <w:t>(Ministry of Agriculture of Ecuador, 2018)</w:t>
      </w:r>
      <w:r w:rsidR="00EA2DBB" w:rsidRPr="00DF52BC">
        <w:fldChar w:fldCharType="end"/>
      </w:r>
      <w:r w:rsidR="00EA2DBB" w:rsidRPr="00DF52BC">
        <w:t>.</w:t>
      </w:r>
      <w:r w:rsidR="001975E2" w:rsidRPr="00DF52BC">
        <w:t xml:space="preserve"> </w:t>
      </w:r>
    </w:p>
    <w:p w14:paraId="393E09E1" w14:textId="25280614" w:rsidR="00781BA1" w:rsidRPr="00DF52BC" w:rsidRDefault="001975E2" w:rsidP="00781BA1">
      <w:pPr>
        <w:pStyle w:val="Normaltext"/>
        <w:ind w:firstLine="284"/>
      </w:pPr>
      <w:r w:rsidRPr="00DF52BC">
        <w:t xml:space="preserve">The coffee value chain in Galapagos suffers </w:t>
      </w:r>
      <w:r w:rsidR="00B17935">
        <w:t>from a</w:t>
      </w:r>
      <w:r w:rsidR="00B17935" w:rsidRPr="00DF52BC">
        <w:t xml:space="preserve"> </w:t>
      </w:r>
      <w:r w:rsidRPr="00DF52BC">
        <w:t>lack of organization and traceability, resulting in a further reduction of economi</w:t>
      </w:r>
      <w:r w:rsidR="008377A1" w:rsidRPr="00DF52BC">
        <w:t>c benefit for coffee producers.</w:t>
      </w:r>
      <w:r w:rsidR="00EA2DBB" w:rsidRPr="00DF52BC">
        <w:t xml:space="preserve"> </w:t>
      </w:r>
      <w:r w:rsidR="00895586" w:rsidRPr="00895586">
        <w:t xml:space="preserve">Only 2% of the islands' coffee production </w:t>
      </w:r>
      <w:r w:rsidR="00EA2DBB" w:rsidRPr="00DF52BC">
        <w:t>is ground and packaged on the spot and 82%</w:t>
      </w:r>
      <w:r w:rsidR="008377A1" w:rsidRPr="00DF52BC">
        <w:t xml:space="preserve"> of those interviewed farmers </w:t>
      </w:r>
      <w:r w:rsidR="00EA2DBB" w:rsidRPr="00DF52BC">
        <w:t>feel that coffee is not very profitable, mainly because of low productivity and very low selling prices.</w:t>
      </w:r>
      <w:r w:rsidRPr="00DF52BC">
        <w:t xml:space="preserve"> </w:t>
      </w:r>
      <w:r w:rsidR="00781BA1" w:rsidRPr="00DF52BC">
        <w:t>However, a new category of young and educated producers with a trading or entrepreneurial spirit is emerging. These producers are generally active in tourism and have planted coffee more recently, sometimes ev</w:t>
      </w:r>
      <w:r w:rsidR="00A325C7" w:rsidRPr="00DF52BC">
        <w:t xml:space="preserve">en new varieties. Most of them </w:t>
      </w:r>
      <w:r w:rsidR="00781BA1" w:rsidRPr="00DF52BC">
        <w:t>are well equipped and offer their roasted and ground coffee on the islands under their own brand name.</w:t>
      </w:r>
    </w:p>
    <w:p w14:paraId="1D7091A8" w14:textId="1BC52B22" w:rsidR="00A26528" w:rsidRPr="00DF52BC" w:rsidRDefault="00CC54AB" w:rsidP="00A26528">
      <w:pPr>
        <w:pStyle w:val="Normaltext"/>
        <w:ind w:firstLine="284"/>
      </w:pPr>
      <w:r w:rsidRPr="00DF52BC">
        <w:t>T</w:t>
      </w:r>
      <w:r w:rsidR="00781BA1" w:rsidRPr="00DF52BC">
        <w:t xml:space="preserve">hese professional farmers applied for the GI </w:t>
      </w:r>
      <w:r w:rsidR="001975E2" w:rsidRPr="00DF52BC">
        <w:t>in 2014</w:t>
      </w:r>
      <w:r w:rsidR="00B17935">
        <w:t>, and it</w:t>
      </w:r>
      <w:r w:rsidR="00A26528" w:rsidRPr="00DF52BC">
        <w:t xml:space="preserve"> was recognized in 2015, with the main aim to increase the selling price by certifying the authenticity of coffee marketed under the Galapagos name on the mainland against numerous frauds.</w:t>
      </w:r>
    </w:p>
    <w:p w14:paraId="2C4744EB" w14:textId="3673D141" w:rsidR="004B0F43" w:rsidRDefault="00CC54AB" w:rsidP="004B0F43">
      <w:pPr>
        <w:pStyle w:val="Normaltext"/>
        <w:ind w:firstLine="284"/>
      </w:pPr>
      <w:r w:rsidRPr="00DF52BC">
        <w:t>The M</w:t>
      </w:r>
      <w:r w:rsidR="00A26528" w:rsidRPr="00DF52BC">
        <w:t>AG</w:t>
      </w:r>
      <w:r w:rsidRPr="00DF52BC">
        <w:t xml:space="preserve"> asked for the support of the French National Institute of Origin and Quality (INAO), that lead to a physical, sensory, and comparative analysis that confirmed the uniqueness of Galapagos coffee. However, important aspects such as local agriculture knowledge, producers' culture and history, or harvesting processes</w:t>
      </w:r>
      <w:r w:rsidR="00626FFC" w:rsidRPr="00DF52BC">
        <w:t>, were not considered</w:t>
      </w:r>
      <w:r w:rsidR="003B7790" w:rsidRPr="00DF52BC">
        <w:t xml:space="preserve"> in the drafting of specifications</w:t>
      </w:r>
      <w:r w:rsidRPr="00DF52BC">
        <w:t xml:space="preserve">. </w:t>
      </w:r>
      <w:r w:rsidR="003B7790" w:rsidRPr="00DF52BC">
        <w:t>From a management point of view, u</w:t>
      </w:r>
      <w:r w:rsidR="00626FFC" w:rsidRPr="00DF52BC">
        <w:t>nder the INAO impulse, the Coffee Production Cooperative of the Galapagos Islands (COPGALACAF) was created</w:t>
      </w:r>
      <w:r w:rsidR="00A26528" w:rsidRPr="00DF52BC">
        <w:t xml:space="preserve">. Based on the French model - see in France the case of Comté </w:t>
      </w:r>
      <w:r w:rsidR="00A26528" w:rsidRPr="00DF52BC">
        <w:fldChar w:fldCharType="begin"/>
      </w:r>
      <w:r w:rsidR="00A26528" w:rsidRPr="00DF52BC">
        <w:instrText xml:space="preserve"> ADDIN ZOTERO_ITEM CSL_CITATION {"citationID":"gKq1UzNM","properties":{"formattedCitation":"(Napol\\uc0\\u233{}one &amp; Chia, 2010; Torre &amp; Chia, 2001)","plainCitation":"(Napoléone &amp; Chia, 2010; Torre &amp; Chia, 2001)","noteIndex":0},"citationItems":[{"id":755,"uris":["http://zotero.org/users/5126088/items/RXTNRN3F"],"uri":["http://zotero.org/users/5126088/items/RXTNRN3F"],"itemData":{"id":755,"type":"paper-conference","container-title":"Annales des Mines-Gérer et comprendre","note":"issue: 4","page":"58–69","publisher":"ESKA","source":"Google Scholar","title":"Repenser la coordination entre agriculteurs et coopératives laitières–vers une gestion concertée de la saisonnalité de la collecte","author":[{"family":"Napoléone","given":"Martine"},{"family":"Chia","given":"Eduardo"}],"issued":{"date-parts":[["2010"]]}}},{"id":756,"uris":["http://zotero.org/users/5126088/items/EPPUIMIY"],"uri":["http://zotero.org/users/5126088/items/EPPUIMIY"],"itemData":{"id":756,"type":"article-journal","container-title":"Gérer et comprendre","page":"55–67","source":"Google Scholar","title":"Pilotage d’une AOC fondée sur la confiance. Le cas de la production de fromage de Comté","volume":"65","author":[{"family":"Torre","given":"André"},{"family":"Chia","given":"Eduardo"}],"issued":{"date-parts":[["2001"]]}}}],"schema":"https://github.com/citation-style-language/schema/raw/master/csl-citation.json"} </w:instrText>
      </w:r>
      <w:r w:rsidR="00A26528" w:rsidRPr="00DF52BC">
        <w:fldChar w:fldCharType="separate"/>
      </w:r>
      <w:r w:rsidR="00A26528" w:rsidRPr="00DF52BC">
        <w:t>(Napoléone &amp; Chia, 2010)</w:t>
      </w:r>
      <w:r w:rsidR="00A26528" w:rsidRPr="00DF52BC">
        <w:fldChar w:fldCharType="end"/>
      </w:r>
      <w:r w:rsidR="00A26528" w:rsidRPr="00DF52BC">
        <w:t xml:space="preserve"> - </w:t>
      </w:r>
      <w:r w:rsidR="00626FFC" w:rsidRPr="00DF52BC">
        <w:t xml:space="preserve"> </w:t>
      </w:r>
      <w:r w:rsidR="00112DF0" w:rsidRPr="00DF52BC">
        <w:t xml:space="preserve">producers must deliver the coffee to the cooperative, which </w:t>
      </w:r>
      <w:r w:rsidR="00B17935">
        <w:t>is responsible for</w:t>
      </w:r>
      <w:r w:rsidR="00B17935" w:rsidRPr="00DF52BC">
        <w:t xml:space="preserve"> </w:t>
      </w:r>
      <w:r w:rsidR="00112DF0" w:rsidRPr="00DF52BC">
        <w:t>process</w:t>
      </w:r>
      <w:r w:rsidR="00B17935">
        <w:t>ing</w:t>
      </w:r>
      <w:r w:rsidR="00112DF0" w:rsidRPr="00DF52BC">
        <w:t xml:space="preserve"> and sell</w:t>
      </w:r>
      <w:r w:rsidR="00B17935">
        <w:t>ing</w:t>
      </w:r>
      <w:r w:rsidR="00112DF0" w:rsidRPr="00DF52BC">
        <w:t xml:space="preserve"> the coffee with the Galapagos Coffee GI</w:t>
      </w:r>
      <w:r w:rsidR="00A26528" w:rsidRPr="00DF52BC">
        <w:t>. Although 84% o</w:t>
      </w:r>
      <w:r w:rsidR="00D242C7" w:rsidRPr="00DF52BC">
        <w:t xml:space="preserve">f the local producers joined the cooperative, they </w:t>
      </w:r>
      <w:r w:rsidR="00A26528" w:rsidRPr="00DF52BC">
        <w:t>continued to sell their product under their own brand and not under the GI.</w:t>
      </w:r>
      <w:r w:rsidR="003A3336" w:rsidRPr="00DF52BC">
        <w:t xml:space="preserve"> </w:t>
      </w:r>
      <w:r w:rsidR="00D242C7" w:rsidRPr="00DF52BC">
        <w:t>T</w:t>
      </w:r>
      <w:r w:rsidR="003A3336" w:rsidRPr="00DF52BC">
        <w:t xml:space="preserve">he first sale through the cooperative took place in 2019 </w:t>
      </w:r>
      <w:r w:rsidR="00200213">
        <w:t>with the participation of only four</w:t>
      </w:r>
      <w:r w:rsidR="003A3336" w:rsidRPr="00DF52BC">
        <w:t xml:space="preserve"> producers, as coffee producers live from their daily sales and cannot wait for the cooperative to sell the product to pay them.</w:t>
      </w:r>
      <w:r w:rsidR="003A3336" w:rsidRPr="00DF52BC">
        <w:rPr>
          <w:rFonts w:ascii="Times New Roman" w:hAnsi="Times New Roman"/>
          <w:color w:val="000000" w:themeColor="text1"/>
        </w:rPr>
        <w:t xml:space="preserve">  </w:t>
      </w:r>
    </w:p>
    <w:p w14:paraId="142F76BE" w14:textId="77777777" w:rsidR="004B0F43" w:rsidRPr="004B0F43" w:rsidRDefault="004B0F43" w:rsidP="004B0F43">
      <w:pPr>
        <w:rPr>
          <w:sz w:val="11"/>
        </w:rPr>
      </w:pPr>
    </w:p>
    <w:p w14:paraId="0E5B9FD0" w14:textId="77777777" w:rsidR="00E2153D" w:rsidRPr="00DF52BC" w:rsidRDefault="00E2153D" w:rsidP="00E2153D">
      <w:pPr>
        <w:pStyle w:val="berschrift11"/>
        <w:rPr>
          <w:b/>
          <w:color w:val="C0504D" w:themeColor="accent2"/>
        </w:rPr>
      </w:pPr>
      <w:r w:rsidRPr="00DF52BC">
        <w:rPr>
          <w:b/>
          <w:color w:val="C0504D" w:themeColor="accent2"/>
        </w:rPr>
        <w:t xml:space="preserve">Discussion and Conclusions </w:t>
      </w:r>
    </w:p>
    <w:p w14:paraId="03AF970D" w14:textId="3241CB3C" w:rsidR="003A3336" w:rsidRPr="00DF52BC" w:rsidRDefault="003A3336">
      <w:pPr>
        <w:pStyle w:val="Normaltext"/>
        <w:tabs>
          <w:tab w:val="left" w:pos="240"/>
        </w:tabs>
      </w:pPr>
      <w:r w:rsidRPr="00DF52BC">
        <w:t xml:space="preserve">The case of the </w:t>
      </w:r>
      <w:r w:rsidR="008C3006" w:rsidRPr="00DF52BC">
        <w:t>implementation</w:t>
      </w:r>
      <w:r w:rsidRPr="00DF52BC">
        <w:t xml:space="preserve"> of the GI system in Ecuador allow</w:t>
      </w:r>
      <w:r w:rsidR="00B17935">
        <w:t>s</w:t>
      </w:r>
      <w:r w:rsidRPr="00DF52BC">
        <w:t xml:space="preserve"> us to make some considerations</w:t>
      </w:r>
      <w:r w:rsidR="008C3006" w:rsidRPr="00DF52BC">
        <w:t xml:space="preserve"> on the limits of the transfer of such policy</w:t>
      </w:r>
      <w:r w:rsidRPr="00DF52BC">
        <w:t>.</w:t>
      </w:r>
      <w:r w:rsidR="008C3006" w:rsidRPr="00DF52BC">
        <w:t xml:space="preserve"> </w:t>
      </w:r>
      <w:r w:rsidR="001C1E7B" w:rsidRPr="00DF52BC">
        <w:t>First,</w:t>
      </w:r>
      <w:r w:rsidRPr="00DF52BC">
        <w:t xml:space="preserve"> the lack of a clear political st</w:t>
      </w:r>
      <w:r w:rsidR="001C1E7B" w:rsidRPr="00DF52BC">
        <w:t xml:space="preserve">rategy for GI, </w:t>
      </w:r>
      <w:r w:rsidRPr="00DF52BC">
        <w:t>appropriated</w:t>
      </w:r>
      <w:r w:rsidR="001C1E7B" w:rsidRPr="00DF52BC">
        <w:t>, and financially supported</w:t>
      </w:r>
      <w:r w:rsidRPr="00DF52BC">
        <w:t xml:space="preserve"> by </w:t>
      </w:r>
      <w:r w:rsidR="001C1E7B" w:rsidRPr="00DF52BC">
        <w:t>Ecuadorian institutions make</w:t>
      </w:r>
      <w:r w:rsidR="00B17935">
        <w:t>s</w:t>
      </w:r>
      <w:r w:rsidRPr="00DF52BC">
        <w:t xml:space="preserve"> the effects of the established GI</w:t>
      </w:r>
      <w:r w:rsidR="00A325C7" w:rsidRPr="00DF52BC">
        <w:t>s</w:t>
      </w:r>
      <w:r w:rsidRPr="00DF52BC">
        <w:t xml:space="preserve"> </w:t>
      </w:r>
      <w:r w:rsidR="001C1E7B" w:rsidRPr="00DF52BC">
        <w:t>doubtful. Moreover, a political restricted vision of GIs that exclude heritage aspects (local know-how, historical dimensions), result</w:t>
      </w:r>
      <w:r w:rsidR="00B17935">
        <w:t>s</w:t>
      </w:r>
      <w:r w:rsidR="001C1E7B" w:rsidRPr="00DF52BC">
        <w:t xml:space="preserve"> in GI projects that have a low impact on the rural development</w:t>
      </w:r>
      <w:r w:rsidR="008C3006" w:rsidRPr="00DF52BC">
        <w:t xml:space="preserve"> of the production area</w:t>
      </w:r>
      <w:r w:rsidR="001C1E7B" w:rsidRPr="00DF52BC">
        <w:t xml:space="preserve"> </w:t>
      </w:r>
      <w:r w:rsidR="001C1E7B" w:rsidRPr="00DF52BC">
        <w:fldChar w:fldCharType="begin"/>
      </w:r>
      <w:r w:rsidR="001C1E7B" w:rsidRPr="00DF52BC">
        <w:instrText xml:space="preserve"> ADDIN ZOTERO_ITEM CSL_CITATION {"citationID":"esqLGug4","properties":{"formattedCitation":"(Barjolle et al., 2009)","plainCitation":"(Barjolle et al., 2009)","noteIndex":0},"citationItems":[{"id":555,"uris":["http://zotero.org/users/5126088/items/SMUC6NCE"],"uri":["http://zotero.org/users/5126088/items/SMUC6NCE"],"itemData":{"id":555,"type":"article-journal","abstract":"This paper focuses on methods for assessing the territorial impact (economic, social and environmental) of geographical indication systems. First, in a review of methods, methodological difficulties and choices are discussed and major studies are briefly presented. We highlight that it is necessary to identify a clear reference point and a relevant set of indicators and that this question has led to an active and rich research corpus. In a second part, we present some of the results of a recent European research program, SINER-GI. We analyze the impacts of 14 case studies in a common methodology. The results show significant differences of the priorities of the stakeholders between established geographical indications and geographical indications in progress. For a first group of geographical indications in progress, which we called “enthusiasts”, the most important expected impacts are the market stabilization or increase, the value added in the region, but also the preservation of local breeds or varieties. For a second group of geographical indications in progress, that we called “socio-environmentalists”, the expectations on economic issues are less important than the social and the environmental ones. Finally, for a third group of geographical indications in progress, that we called “undecided”, we find that the highest scores are given to the expected economic impacts.","language":"en","page":"14","source":"Zotero","title":"Impacts of Geographical Indications Review of Methods and Empirical Evidences","author":[{"family":"Barjolle","given":"Dominique"},{"family":"Paus","given":"Marguerite"},{"family":"Perret","given":"Anna"}],"issued":{"date-parts":[["2009"]]}}}],"schema":"https://github.com/citation-style-language/schema/raw/master/csl-citation.json"} </w:instrText>
      </w:r>
      <w:r w:rsidR="001C1E7B" w:rsidRPr="00DF52BC">
        <w:fldChar w:fldCharType="separate"/>
      </w:r>
      <w:r w:rsidR="001C1E7B" w:rsidRPr="00DF52BC">
        <w:t>(see also</w:t>
      </w:r>
      <w:r w:rsidR="008C3006" w:rsidRPr="00DF52BC">
        <w:t xml:space="preserve"> </w:t>
      </w:r>
      <w:r w:rsidR="001C1E7B" w:rsidRPr="00DF52BC">
        <w:t>Barjolle et al., 2009)</w:t>
      </w:r>
      <w:r w:rsidR="001C1E7B" w:rsidRPr="00DF52BC">
        <w:fldChar w:fldCharType="end"/>
      </w:r>
      <w:r w:rsidR="001C1E7B" w:rsidRPr="00DF52BC">
        <w:t>.</w:t>
      </w:r>
      <w:r w:rsidRPr="00DF52BC">
        <w:t xml:space="preserve"> </w:t>
      </w:r>
      <w:r w:rsidR="001C1E7B" w:rsidRPr="00DF52BC">
        <w:t xml:space="preserve">Second, some aspects of the imported French model </w:t>
      </w:r>
      <w:r w:rsidR="00A325C7" w:rsidRPr="00DF52BC">
        <w:t>revealed</w:t>
      </w:r>
      <w:r w:rsidR="001C1E7B" w:rsidRPr="00DF52BC">
        <w:t xml:space="preserve"> </w:t>
      </w:r>
      <w:r w:rsidR="00B17935">
        <w:t xml:space="preserve">themselves to be </w:t>
      </w:r>
      <w:r w:rsidR="001C1E7B" w:rsidRPr="00DF52BC">
        <w:t>not fully adapted to the local situation. For instance, the creation of a</w:t>
      </w:r>
      <w:r w:rsidR="008C3006" w:rsidRPr="00DF52BC">
        <w:t>n</w:t>
      </w:r>
      <w:r w:rsidR="001C1E7B" w:rsidRPr="00DF52BC">
        <w:t xml:space="preserve"> institution</w:t>
      </w:r>
      <w:r w:rsidR="008C3006" w:rsidRPr="00DF52BC">
        <w:t xml:space="preserve"> dedicated to</w:t>
      </w:r>
      <w:r w:rsidR="00A01E6C" w:rsidRPr="00DF52BC">
        <w:t xml:space="preserve"> the</w:t>
      </w:r>
      <w:r w:rsidR="008C3006" w:rsidRPr="00DF52BC">
        <w:t xml:space="preserve"> GIs</w:t>
      </w:r>
      <w:r w:rsidR="001C1E7B" w:rsidRPr="00DF52BC">
        <w:t xml:space="preserve"> seem</w:t>
      </w:r>
      <w:r w:rsidR="008C3006" w:rsidRPr="00DF52BC">
        <w:t>s</w:t>
      </w:r>
      <w:r w:rsidR="001C1E7B" w:rsidRPr="00DF52BC">
        <w:t xml:space="preserve"> too demanding</w:t>
      </w:r>
      <w:r w:rsidR="008C3006" w:rsidRPr="00DF52BC">
        <w:t xml:space="preserve"> from a financial </w:t>
      </w:r>
      <w:r w:rsidR="00A325C7" w:rsidRPr="00DF52BC">
        <w:t xml:space="preserve">and managerial </w:t>
      </w:r>
      <w:r w:rsidR="008C3006" w:rsidRPr="00DF52BC">
        <w:t>point of view, whereas t</w:t>
      </w:r>
      <w:r w:rsidRPr="00DF52BC">
        <w:t xml:space="preserve">he cooperative marketing model </w:t>
      </w:r>
      <w:r w:rsidR="008C3006" w:rsidRPr="00DF52BC">
        <w:t xml:space="preserve">could </w:t>
      </w:r>
      <w:r w:rsidRPr="00DF52BC">
        <w:t xml:space="preserve">never </w:t>
      </w:r>
      <w:r w:rsidR="00B17935">
        <w:t>work</w:t>
      </w:r>
      <w:r w:rsidR="00B17935" w:rsidRPr="00DF52BC">
        <w:t xml:space="preserve"> </w:t>
      </w:r>
      <w:r w:rsidR="00B17935">
        <w:t>because of</w:t>
      </w:r>
      <w:r w:rsidR="00B17935" w:rsidRPr="00DF52BC">
        <w:t xml:space="preserve"> </w:t>
      </w:r>
      <w:r w:rsidR="008C3006" w:rsidRPr="00DF52BC">
        <w:t>the reluctance of local farmers.</w:t>
      </w:r>
    </w:p>
    <w:p w14:paraId="4B50DC3A" w14:textId="2DB47ACE" w:rsidR="003A3336" w:rsidRPr="004B0F43" w:rsidRDefault="008C3006" w:rsidP="004B0F43">
      <w:pPr>
        <w:pStyle w:val="Normaltext"/>
        <w:tabs>
          <w:tab w:val="left" w:pos="240"/>
        </w:tabs>
      </w:pPr>
      <w:r w:rsidRPr="00DF52BC">
        <w:tab/>
        <w:t xml:space="preserve">This example highlights the need to consider </w:t>
      </w:r>
      <w:r w:rsidR="00B17935">
        <w:t xml:space="preserve">local </w:t>
      </w:r>
      <w:r w:rsidRPr="00DF52BC">
        <w:t>cultural, political and social constraints in the definition of GIs so that they can play a role as rural development tools.</w:t>
      </w:r>
    </w:p>
    <w:p w14:paraId="6867F532" w14:textId="77777777" w:rsidR="007F423C" w:rsidRPr="00DF52BC" w:rsidRDefault="007F423C">
      <w:pPr>
        <w:pStyle w:val="berschrift11"/>
        <w:rPr>
          <w:b/>
          <w:color w:val="C0504D" w:themeColor="accent2"/>
        </w:rPr>
      </w:pPr>
      <w:r w:rsidRPr="00DF52BC">
        <w:rPr>
          <w:b/>
          <w:color w:val="C0504D" w:themeColor="accent2"/>
        </w:rPr>
        <w:t>References</w:t>
      </w:r>
    </w:p>
    <w:p w14:paraId="07541A97" w14:textId="77777777" w:rsidR="00200213" w:rsidRPr="00200213" w:rsidRDefault="00200213" w:rsidP="00200213">
      <w:pPr>
        <w:jc w:val="both"/>
        <w:rPr>
          <w:rFonts w:ascii="Verdana" w:hAnsi="Verdana"/>
          <w:sz w:val="16"/>
          <w:lang w:val="en-US"/>
        </w:rPr>
      </w:pPr>
      <w:proofErr w:type="spellStart"/>
      <w:r w:rsidRPr="00200213">
        <w:rPr>
          <w:rFonts w:ascii="Verdana" w:hAnsi="Verdana"/>
          <w:sz w:val="16"/>
          <w:lang w:val="en-US"/>
        </w:rPr>
        <w:t>Barjolle</w:t>
      </w:r>
      <w:proofErr w:type="spellEnd"/>
      <w:r w:rsidRPr="00200213">
        <w:rPr>
          <w:rFonts w:ascii="Verdana" w:hAnsi="Verdana"/>
          <w:sz w:val="16"/>
          <w:lang w:val="en-US"/>
        </w:rPr>
        <w:t>, D., Paus, M., &amp; Perret, A. O. (2009). Impacts of geographical indications-review of methods and empirical evidences.</w:t>
      </w:r>
    </w:p>
    <w:p w14:paraId="09705B4D" w14:textId="77777777" w:rsidR="00C55623" w:rsidRPr="00C55623" w:rsidRDefault="00C55623" w:rsidP="00C55623">
      <w:pPr>
        <w:pStyle w:val="Normaltext"/>
        <w:spacing w:before="80"/>
        <w:rPr>
          <w:lang w:val="en-US"/>
        </w:rPr>
      </w:pPr>
      <w:proofErr w:type="spellStart"/>
      <w:r w:rsidRPr="00C55623">
        <w:rPr>
          <w:lang w:val="en-US"/>
        </w:rPr>
        <w:t>Belletti</w:t>
      </w:r>
      <w:proofErr w:type="spellEnd"/>
      <w:r w:rsidRPr="00C55623">
        <w:rPr>
          <w:lang w:val="en-US"/>
        </w:rPr>
        <w:t xml:space="preserve">, G., </w:t>
      </w:r>
      <w:proofErr w:type="spellStart"/>
      <w:r w:rsidRPr="00C55623">
        <w:rPr>
          <w:lang w:val="en-US"/>
        </w:rPr>
        <w:t>Marescotti</w:t>
      </w:r>
      <w:proofErr w:type="spellEnd"/>
      <w:r w:rsidRPr="00C55623">
        <w:rPr>
          <w:lang w:val="en-US"/>
        </w:rPr>
        <w:t xml:space="preserve">, A., &amp; </w:t>
      </w:r>
      <w:proofErr w:type="spellStart"/>
      <w:r w:rsidRPr="00C55623">
        <w:rPr>
          <w:lang w:val="en-US"/>
        </w:rPr>
        <w:t>Touzard</w:t>
      </w:r>
      <w:proofErr w:type="spellEnd"/>
      <w:r w:rsidRPr="00C55623">
        <w:rPr>
          <w:lang w:val="en-US"/>
        </w:rPr>
        <w:t xml:space="preserve">, J.-M. (2017). Geographical indications, public goods, and sustainable development: The roles of actors’ strategies and public policies. </w:t>
      </w:r>
      <w:r w:rsidRPr="00C55623">
        <w:rPr>
          <w:i/>
          <w:iCs/>
          <w:lang w:val="en-US"/>
        </w:rPr>
        <w:t>World Development, 98</w:t>
      </w:r>
      <w:r w:rsidRPr="00C55623">
        <w:rPr>
          <w:lang w:val="en-US"/>
        </w:rPr>
        <w:t xml:space="preserve">, 45-57. </w:t>
      </w:r>
    </w:p>
    <w:p w14:paraId="1CBF550B" w14:textId="77777777" w:rsidR="00C46AD9" w:rsidRPr="00C46AD9" w:rsidRDefault="00C46AD9" w:rsidP="00C46AD9">
      <w:pPr>
        <w:pStyle w:val="Normaltext"/>
        <w:spacing w:before="80"/>
        <w:rPr>
          <w:lang w:val="en-US"/>
        </w:rPr>
      </w:pPr>
      <w:r w:rsidRPr="00C46AD9">
        <w:rPr>
          <w:lang w:val="en-US"/>
        </w:rPr>
        <w:t xml:space="preserve">Bowen, S. (2015). </w:t>
      </w:r>
      <w:r w:rsidRPr="00C46AD9">
        <w:rPr>
          <w:i/>
          <w:iCs/>
          <w:lang w:val="en-US"/>
        </w:rPr>
        <w:t>Divided spirits: Tequila, mezcal, and the politics of production</w:t>
      </w:r>
      <w:r w:rsidRPr="00C46AD9">
        <w:rPr>
          <w:lang w:val="en-US"/>
        </w:rPr>
        <w:t>. Berkeley, CA: University of California Press.</w:t>
      </w:r>
    </w:p>
    <w:p w14:paraId="0C48586D" w14:textId="7E241FD3" w:rsidR="009631B7" w:rsidRDefault="009631B7" w:rsidP="00D23870">
      <w:pPr>
        <w:pStyle w:val="Normaltext"/>
        <w:spacing w:before="80"/>
        <w:rPr>
          <w:lang w:val="en-US"/>
        </w:rPr>
      </w:pPr>
      <w:r w:rsidRPr="009631B7">
        <w:rPr>
          <w:lang w:val="en-US"/>
        </w:rPr>
        <w:t xml:space="preserve">Dobbin, F., Simmons, B., &amp; Garrett, G. (2007). The global diffusion of public policies: Social construction, coercion, competition, or learning? </w:t>
      </w:r>
      <w:r w:rsidRPr="009631B7">
        <w:rPr>
          <w:i/>
          <w:iCs/>
          <w:lang w:val="en-US"/>
        </w:rPr>
        <w:t>Annual Review of Sociology, 33</w:t>
      </w:r>
      <w:r w:rsidRPr="009631B7">
        <w:rPr>
          <w:lang w:val="en-US"/>
        </w:rPr>
        <w:t xml:space="preserve">, 449-472. </w:t>
      </w:r>
    </w:p>
    <w:p w14:paraId="6EFF8CEC" w14:textId="77777777" w:rsidR="00CD6D26" w:rsidRPr="00CD6D26" w:rsidRDefault="00CD6D26" w:rsidP="00CD6D26">
      <w:pPr>
        <w:pStyle w:val="Normaltext"/>
        <w:spacing w:before="80"/>
        <w:rPr>
          <w:lang w:val="en-US"/>
        </w:rPr>
      </w:pPr>
      <w:r w:rsidRPr="00CD6D26">
        <w:rPr>
          <w:lang w:val="en-US"/>
        </w:rPr>
        <w:fldChar w:fldCharType="begin"/>
      </w:r>
      <w:r w:rsidRPr="00CD6D26">
        <w:rPr>
          <w:lang w:val="en-US"/>
        </w:rPr>
        <w:instrText xml:space="preserve"> ADDIN ZOTERO_BIBL {"uncited":[],"omitted":[],"custom":[]} CSL_BIBLIOGRAPHY </w:instrText>
      </w:r>
      <w:r w:rsidRPr="00CD6D26">
        <w:rPr>
          <w:lang w:val="en-US"/>
        </w:rPr>
        <w:fldChar w:fldCharType="separate"/>
      </w:r>
      <w:r w:rsidRPr="00CD6D26">
        <w:rPr>
          <w:lang w:val="en-US"/>
        </w:rPr>
        <w:t xml:space="preserve">INIAP, Valverde, M., Escudero, L., </w:t>
      </w:r>
      <w:proofErr w:type="spellStart"/>
      <w:r w:rsidRPr="00CD6D26">
        <w:rPr>
          <w:lang w:val="en-US"/>
        </w:rPr>
        <w:t>Allauca</w:t>
      </w:r>
      <w:proofErr w:type="spellEnd"/>
      <w:r w:rsidRPr="00CD6D26">
        <w:rPr>
          <w:lang w:val="en-US"/>
        </w:rPr>
        <w:t xml:space="preserve">, J., &amp; Barrera, V. (2019). Productividad y sostenibilidad de los sistemas de producción agropecuaria de las islas Galápagos-Ecuador. </w:t>
      </w:r>
      <w:proofErr w:type="spellStart"/>
      <w:r w:rsidRPr="00CD6D26">
        <w:rPr>
          <w:lang w:val="en-US"/>
        </w:rPr>
        <w:t>National</w:t>
      </w:r>
      <w:proofErr w:type="spellEnd"/>
      <w:r w:rsidRPr="00CD6D26">
        <w:rPr>
          <w:lang w:val="en-US"/>
        </w:rPr>
        <w:t xml:space="preserve"> </w:t>
      </w:r>
      <w:proofErr w:type="spellStart"/>
      <w:r w:rsidRPr="00CD6D26">
        <w:rPr>
          <w:lang w:val="en-US"/>
        </w:rPr>
        <w:t>Institute</w:t>
      </w:r>
      <w:proofErr w:type="spellEnd"/>
      <w:r w:rsidRPr="00CD6D26">
        <w:rPr>
          <w:lang w:val="en-US"/>
        </w:rPr>
        <w:t xml:space="preserve"> of </w:t>
      </w:r>
      <w:proofErr w:type="spellStart"/>
      <w:r w:rsidRPr="00CD6D26">
        <w:rPr>
          <w:lang w:val="en-US"/>
        </w:rPr>
        <w:t>Agricultural</w:t>
      </w:r>
      <w:proofErr w:type="spellEnd"/>
      <w:r w:rsidRPr="00CD6D26">
        <w:rPr>
          <w:lang w:val="en-US"/>
        </w:rPr>
        <w:t xml:space="preserve"> </w:t>
      </w:r>
      <w:proofErr w:type="spellStart"/>
      <w:r w:rsidRPr="00CD6D26">
        <w:rPr>
          <w:lang w:val="en-US"/>
        </w:rPr>
        <w:t>Research</w:t>
      </w:r>
      <w:proofErr w:type="spellEnd"/>
      <w:r w:rsidRPr="00CD6D26">
        <w:rPr>
          <w:lang w:val="en-US"/>
        </w:rPr>
        <w:t xml:space="preserve"> of Ecuador (</w:t>
      </w:r>
      <w:proofErr w:type="spellStart"/>
      <w:r w:rsidRPr="00CD6D26">
        <w:rPr>
          <w:lang w:val="en-US"/>
        </w:rPr>
        <w:t>Arcoiris</w:t>
      </w:r>
      <w:proofErr w:type="spellEnd"/>
      <w:r w:rsidRPr="00CD6D26">
        <w:rPr>
          <w:lang w:val="en-US"/>
        </w:rPr>
        <w:t>. Producción Grafica.).</w:t>
      </w:r>
    </w:p>
    <w:p w14:paraId="28DD5BD2" w14:textId="1EF4097F" w:rsidR="00236725" w:rsidRPr="00CD6D26" w:rsidRDefault="00CD6D26" w:rsidP="00236725">
      <w:pPr>
        <w:pStyle w:val="Normaltext"/>
        <w:spacing w:before="80"/>
        <w:rPr>
          <w:lang w:val="en-US"/>
        </w:rPr>
      </w:pPr>
      <w:r w:rsidRPr="00CD6D26">
        <w:rPr>
          <w:lang w:val="en-US"/>
        </w:rPr>
        <w:fldChar w:fldCharType="end"/>
      </w:r>
      <w:r w:rsidR="00236725" w:rsidRPr="00DF52BC">
        <w:t>Jones, A.R. and Walter, H. (1995). Title of chapter. In: A. Mohr and P. Wings (</w:t>
      </w:r>
      <w:proofErr w:type="spellStart"/>
      <w:r w:rsidR="00236725" w:rsidRPr="00DF52BC">
        <w:t>eds</w:t>
      </w:r>
      <w:proofErr w:type="spellEnd"/>
      <w:r w:rsidR="00236725" w:rsidRPr="00DF52BC">
        <w:t>).</w:t>
      </w:r>
      <w:r w:rsidR="00236725" w:rsidRPr="00DF52BC">
        <w:rPr>
          <w:i/>
        </w:rPr>
        <w:t>New Soil Analysis</w:t>
      </w:r>
      <w:r w:rsidR="00236725" w:rsidRPr="00DF52BC">
        <w:t>, pp. 42-51. Copenhagen: Danish Soil Association.</w:t>
      </w:r>
    </w:p>
    <w:p w14:paraId="6A2C5FC0" w14:textId="0D2332EE" w:rsidR="00C46AD9" w:rsidRDefault="00C46AD9" w:rsidP="00D23870">
      <w:pPr>
        <w:pStyle w:val="Normaltext"/>
        <w:spacing w:before="80"/>
        <w:rPr>
          <w:lang w:val="en-US"/>
        </w:rPr>
      </w:pPr>
      <w:r w:rsidRPr="00C46AD9">
        <w:rPr>
          <w:lang w:val="en-US"/>
        </w:rPr>
        <w:t xml:space="preserve">Marie-Vivien, D., &amp; </w:t>
      </w:r>
      <w:proofErr w:type="spellStart"/>
      <w:r w:rsidRPr="00C46AD9">
        <w:rPr>
          <w:lang w:val="en-US"/>
        </w:rPr>
        <w:t>Biénabe</w:t>
      </w:r>
      <w:proofErr w:type="spellEnd"/>
      <w:r w:rsidRPr="00C46AD9">
        <w:rPr>
          <w:lang w:val="en-US"/>
        </w:rPr>
        <w:t xml:space="preserve">, E. (2017). The multifaceted role of the state in the protection of geographical indications: A worldwide review. </w:t>
      </w:r>
      <w:r w:rsidRPr="00C46AD9">
        <w:rPr>
          <w:i/>
          <w:iCs/>
          <w:lang w:val="en-US"/>
        </w:rPr>
        <w:t>World Development, 98</w:t>
      </w:r>
      <w:r w:rsidRPr="00C46AD9">
        <w:rPr>
          <w:lang w:val="en-US"/>
        </w:rPr>
        <w:t xml:space="preserve">, 1-11. </w:t>
      </w:r>
    </w:p>
    <w:p w14:paraId="6C765F17" w14:textId="1315BA36" w:rsidR="009631B7" w:rsidRDefault="009631B7" w:rsidP="00D23870">
      <w:pPr>
        <w:pStyle w:val="Normaltext"/>
        <w:spacing w:before="80"/>
        <w:rPr>
          <w:lang w:val="en-US"/>
        </w:rPr>
      </w:pPr>
      <w:proofErr w:type="spellStart"/>
      <w:r w:rsidRPr="009631B7">
        <w:rPr>
          <w:lang w:val="en-US"/>
        </w:rPr>
        <w:t>Meseguer</w:t>
      </w:r>
      <w:proofErr w:type="spellEnd"/>
      <w:r w:rsidRPr="009631B7">
        <w:rPr>
          <w:lang w:val="en-US"/>
        </w:rPr>
        <w:t xml:space="preserve">, C., &amp; </w:t>
      </w:r>
      <w:proofErr w:type="spellStart"/>
      <w:r w:rsidRPr="009631B7">
        <w:rPr>
          <w:lang w:val="en-US"/>
        </w:rPr>
        <w:t>Gilardi</w:t>
      </w:r>
      <w:proofErr w:type="spellEnd"/>
      <w:r w:rsidRPr="009631B7">
        <w:rPr>
          <w:lang w:val="en-US"/>
        </w:rPr>
        <w:t xml:space="preserve">, F. (2009). What is new in the study of policy diffusion? </w:t>
      </w:r>
      <w:r w:rsidRPr="009631B7">
        <w:rPr>
          <w:i/>
          <w:iCs/>
          <w:lang w:val="en-US"/>
        </w:rPr>
        <w:t>Review of International Political Economy, 16</w:t>
      </w:r>
      <w:r w:rsidRPr="009631B7">
        <w:rPr>
          <w:lang w:val="en-US"/>
        </w:rPr>
        <w:t xml:space="preserve">(3), 527-543. </w:t>
      </w:r>
    </w:p>
    <w:p w14:paraId="1A8523AD" w14:textId="6FFD369F" w:rsidR="004B0F43" w:rsidRPr="004B0F43" w:rsidRDefault="004B0F43" w:rsidP="00D23870">
      <w:pPr>
        <w:pStyle w:val="Normaltext"/>
        <w:spacing w:before="80"/>
      </w:pPr>
      <w:proofErr w:type="spellStart"/>
      <w:r w:rsidRPr="004B0F43">
        <w:t>Ministry</w:t>
      </w:r>
      <w:proofErr w:type="spellEnd"/>
      <w:r w:rsidRPr="004B0F43">
        <w:t xml:space="preserve"> of </w:t>
      </w:r>
      <w:proofErr w:type="spellStart"/>
      <w:r w:rsidRPr="004B0F43">
        <w:t>Agriculture</w:t>
      </w:r>
      <w:proofErr w:type="spellEnd"/>
      <w:r w:rsidRPr="004B0F43">
        <w:t xml:space="preserve"> of Ecuador. (2018). Catastro Productores de Café en Las Islas Galápagos. Ministerio Agricultura, </w:t>
      </w:r>
      <w:proofErr w:type="spellStart"/>
      <w:r w:rsidRPr="004B0F43">
        <w:t>Oficina</w:t>
      </w:r>
      <w:proofErr w:type="spellEnd"/>
      <w:r w:rsidRPr="004B0F43">
        <w:t xml:space="preserve"> Islas Galápagos.</w:t>
      </w:r>
      <w:bookmarkStart w:id="0" w:name="_GoBack"/>
      <w:bookmarkEnd w:id="0"/>
    </w:p>
    <w:p w14:paraId="16067E04" w14:textId="616F7947" w:rsidR="00236725" w:rsidRPr="00540A1D" w:rsidRDefault="00236725" w:rsidP="00D23870">
      <w:pPr>
        <w:pStyle w:val="Normaltext"/>
        <w:spacing w:before="80"/>
        <w:rPr>
          <w:lang w:val="en-US"/>
        </w:rPr>
      </w:pPr>
      <w:proofErr w:type="spellStart"/>
      <w:r>
        <w:t>Napoleone</w:t>
      </w:r>
      <w:proofErr w:type="spellEnd"/>
      <w:r>
        <w:t xml:space="preserve">, M., &amp; Chia, E. (2010). </w:t>
      </w:r>
      <w:proofErr w:type="spellStart"/>
      <w:r>
        <w:t>Repenser</w:t>
      </w:r>
      <w:proofErr w:type="spellEnd"/>
      <w:r>
        <w:t xml:space="preserve"> la coordination entre </w:t>
      </w:r>
      <w:proofErr w:type="spellStart"/>
      <w:r>
        <w:t>agriculteurs</w:t>
      </w:r>
      <w:proofErr w:type="spellEnd"/>
      <w:r>
        <w:t xml:space="preserve"> et </w:t>
      </w:r>
      <w:proofErr w:type="spellStart"/>
      <w:r>
        <w:t>coopératives</w:t>
      </w:r>
      <w:proofErr w:type="spellEnd"/>
      <w:r>
        <w:t xml:space="preserve"> </w:t>
      </w:r>
      <w:proofErr w:type="spellStart"/>
      <w:r>
        <w:t>laitières</w:t>
      </w:r>
      <w:proofErr w:type="spellEnd"/>
      <w:r>
        <w:t>–</w:t>
      </w:r>
      <w:proofErr w:type="spellStart"/>
      <w:r>
        <w:t>vers</w:t>
      </w:r>
      <w:proofErr w:type="spellEnd"/>
      <w:r>
        <w:t xml:space="preserve"> </w:t>
      </w:r>
      <w:proofErr w:type="spellStart"/>
      <w:r>
        <w:t>une</w:t>
      </w:r>
      <w:proofErr w:type="spellEnd"/>
      <w:r>
        <w:t xml:space="preserve"> </w:t>
      </w:r>
      <w:proofErr w:type="spellStart"/>
      <w:r>
        <w:t>gestion</w:t>
      </w:r>
      <w:proofErr w:type="spellEnd"/>
      <w:r>
        <w:t xml:space="preserve"> </w:t>
      </w:r>
      <w:proofErr w:type="spellStart"/>
      <w:r>
        <w:t>concertée</w:t>
      </w:r>
      <w:proofErr w:type="spellEnd"/>
      <w:r>
        <w:t xml:space="preserve"> de la </w:t>
      </w:r>
      <w:proofErr w:type="spellStart"/>
      <w:r>
        <w:t>saisonnalité</w:t>
      </w:r>
      <w:proofErr w:type="spellEnd"/>
      <w:r>
        <w:t xml:space="preserve"> de la </w:t>
      </w:r>
      <w:proofErr w:type="spellStart"/>
      <w:r>
        <w:t>collecte</w:t>
      </w:r>
      <w:proofErr w:type="spellEnd"/>
      <w:r>
        <w:t xml:space="preserve">. In </w:t>
      </w:r>
      <w:r>
        <w:rPr>
          <w:i/>
          <w:iCs/>
        </w:rPr>
        <w:t>Annales des Mines-</w:t>
      </w:r>
      <w:proofErr w:type="spellStart"/>
      <w:r>
        <w:rPr>
          <w:i/>
          <w:iCs/>
        </w:rPr>
        <w:t>Gérer</w:t>
      </w:r>
      <w:proofErr w:type="spellEnd"/>
      <w:r>
        <w:rPr>
          <w:i/>
          <w:iCs/>
        </w:rPr>
        <w:t xml:space="preserve"> et </w:t>
      </w:r>
      <w:proofErr w:type="spellStart"/>
      <w:r>
        <w:rPr>
          <w:i/>
          <w:iCs/>
        </w:rPr>
        <w:t>comprendre</w:t>
      </w:r>
      <w:proofErr w:type="spellEnd"/>
      <w:r>
        <w:t xml:space="preserve"> (No. 4, pp. 58-69). ESKA.</w:t>
      </w:r>
    </w:p>
    <w:sectPr w:rsidR="00236725" w:rsidRPr="00540A1D" w:rsidSect="00540A1D">
      <w:type w:val="continuous"/>
      <w:pgSz w:w="11907" w:h="16840" w:code="9"/>
      <w:pgMar w:top="1251" w:right="1134" w:bottom="858" w:left="1474" w:header="142" w:footer="397" w:gutter="0"/>
      <w:cols w:num="2" w:space="720" w:equalWidth="0">
        <w:col w:w="4295" w:space="708"/>
        <w:col w:w="42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B1371" w14:textId="77777777" w:rsidR="003B4D12" w:rsidRDefault="003B4D12">
      <w:r>
        <w:separator/>
      </w:r>
    </w:p>
  </w:endnote>
  <w:endnote w:type="continuationSeparator" w:id="0">
    <w:p w14:paraId="721C4A02" w14:textId="77777777" w:rsidR="003B4D12" w:rsidRDefault="003B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B0DD" w14:textId="77777777" w:rsidR="00236725" w:rsidRDefault="00236725" w:rsidP="00BD29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F8F17D" w14:textId="77777777" w:rsidR="00236725" w:rsidRDefault="00236725" w:rsidP="00CD5A2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42255" w14:textId="69789801" w:rsidR="00236725" w:rsidRPr="00E109AE" w:rsidRDefault="00236725">
    <w:pPr>
      <w:pStyle w:val="Piedepgina"/>
      <w:jc w:val="center"/>
      <w:rPr>
        <w:caps/>
      </w:rPr>
    </w:pPr>
    <w:r w:rsidRPr="00E109AE">
      <w:rPr>
        <w:caps/>
      </w:rPr>
      <w:fldChar w:fldCharType="begin"/>
    </w:r>
    <w:r w:rsidRPr="00E109AE">
      <w:rPr>
        <w:caps/>
      </w:rPr>
      <w:instrText>PAGE   \* MERGEFORMAT</w:instrText>
    </w:r>
    <w:r w:rsidRPr="00E109AE">
      <w:rPr>
        <w:caps/>
      </w:rPr>
      <w:fldChar w:fldCharType="separate"/>
    </w:r>
    <w:r w:rsidR="006B0B4A" w:rsidRPr="006B0B4A">
      <w:rPr>
        <w:caps/>
        <w:noProof/>
        <w:lang w:val="fr-FR"/>
      </w:rPr>
      <w:t>3</w:t>
    </w:r>
    <w:r w:rsidRPr="00E109AE">
      <w:rPr>
        <w:caps/>
      </w:rPr>
      <w:fldChar w:fldCharType="end"/>
    </w:r>
  </w:p>
  <w:p w14:paraId="7205ED91" w14:textId="77777777" w:rsidR="00236725" w:rsidRPr="00405D42" w:rsidRDefault="00236725" w:rsidP="00CD5A2F">
    <w:pPr>
      <w:pStyle w:val="Piedepgina"/>
      <w:ind w:right="360"/>
      <w:rPr>
        <w:rFonts w:ascii="Verdana" w:hAnsi="Verdan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1B442" w14:textId="77777777" w:rsidR="003B4D12" w:rsidRDefault="003B4D12">
      <w:r>
        <w:separator/>
      </w:r>
    </w:p>
  </w:footnote>
  <w:footnote w:type="continuationSeparator" w:id="0">
    <w:p w14:paraId="371BA571" w14:textId="77777777" w:rsidR="003B4D12" w:rsidRDefault="003B4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984" w:type="dxa"/>
      <w:tblInd w:w="-1184" w:type="dxa"/>
      <w:tblBorders>
        <w:top w:val="none" w:sz="0" w:space="0" w:color="auto"/>
        <w:left w:val="none" w:sz="0" w:space="0" w:color="auto"/>
        <w:bottom w:val="single" w:sz="6" w:space="0" w:color="777777"/>
        <w:right w:val="none" w:sz="0" w:space="0" w:color="auto"/>
        <w:insideH w:val="none" w:sz="0" w:space="0" w:color="auto"/>
        <w:insideV w:val="none" w:sz="0" w:space="0" w:color="auto"/>
      </w:tblBorders>
      <w:tblLook w:val="04A0" w:firstRow="1" w:lastRow="0" w:firstColumn="1" w:lastColumn="0" w:noHBand="0" w:noVBand="1"/>
    </w:tblPr>
    <w:tblGrid>
      <w:gridCol w:w="1102"/>
      <w:gridCol w:w="8871"/>
      <w:gridCol w:w="3011"/>
    </w:tblGrid>
    <w:tr w:rsidR="00236725" w:rsidRPr="00994BAA" w14:paraId="0F5CDA01" w14:textId="77777777" w:rsidTr="00DD7EB9">
      <w:trPr>
        <w:trHeight w:val="989"/>
      </w:trPr>
      <w:tc>
        <w:tcPr>
          <w:tcW w:w="1102" w:type="dxa"/>
          <w:vAlign w:val="center"/>
        </w:tcPr>
        <w:p w14:paraId="41EBACE2" w14:textId="77777777" w:rsidR="00236725" w:rsidRPr="00994BAA" w:rsidRDefault="00236725" w:rsidP="00E2153D">
          <w:pPr>
            <w:pStyle w:val="Encabezado"/>
            <w:rPr>
              <w:rFonts w:ascii="Verdana" w:hAnsi="Verdana"/>
              <w:color w:val="00B050"/>
              <w:lang w:val="en-GB"/>
            </w:rPr>
          </w:pPr>
        </w:p>
      </w:tc>
      <w:tc>
        <w:tcPr>
          <w:tcW w:w="8871" w:type="dxa"/>
          <w:vAlign w:val="center"/>
        </w:tcPr>
        <w:p w14:paraId="09542F00" w14:textId="77777777" w:rsidR="00236725" w:rsidRPr="005577AE" w:rsidRDefault="00236725" w:rsidP="00DD7EB9">
          <w:pPr>
            <w:pStyle w:val="Titredepartie"/>
            <w:spacing w:before="0"/>
            <w:ind w:left="0"/>
            <w:jc w:val="center"/>
            <w:rPr>
              <w:rFonts w:ascii="Verdana" w:hAnsi="Verdana"/>
              <w:b w:val="0"/>
              <w:sz w:val="20"/>
              <w:lang w:val="en-US"/>
            </w:rPr>
          </w:pPr>
          <w:r w:rsidRPr="005577AE">
            <w:rPr>
              <w:rFonts w:ascii="Verdana" w:hAnsi="Verdana"/>
              <w:b w:val="0"/>
              <w:sz w:val="20"/>
              <w:lang w:val="en-US"/>
            </w:rPr>
            <w:t xml:space="preserve">Conference Proceedings </w:t>
          </w:r>
        </w:p>
        <w:p w14:paraId="7D9BBEC1" w14:textId="77777777" w:rsidR="00236725" w:rsidRPr="005577AE" w:rsidRDefault="00236725" w:rsidP="00C53BC2">
          <w:pPr>
            <w:pStyle w:val="Titredepartie"/>
            <w:spacing w:before="0"/>
            <w:ind w:left="0"/>
            <w:jc w:val="center"/>
            <w:rPr>
              <w:rFonts w:ascii="Verdana" w:hAnsi="Verdana"/>
              <w:lang w:val="en-US"/>
            </w:rPr>
          </w:pPr>
          <w:r w:rsidRPr="005577AE">
            <w:rPr>
              <w:rFonts w:ascii="Verdana" w:hAnsi="Verdana"/>
              <w:sz w:val="20"/>
              <w:lang w:val="en-US"/>
            </w:rPr>
            <w:t>Worldwide Perspectives on Geographical Indications</w:t>
          </w:r>
          <w:r w:rsidRPr="005577AE">
            <w:rPr>
              <w:rFonts w:ascii="Verdana" w:hAnsi="Verdana"/>
              <w:sz w:val="18"/>
              <w:lang w:val="en-US"/>
            </w:rPr>
            <w:br/>
          </w:r>
          <w:r w:rsidRPr="005577AE">
            <w:rPr>
              <w:rFonts w:ascii="Verdana" w:hAnsi="Verdana"/>
              <w:b w:val="0"/>
              <w:sz w:val="20"/>
              <w:lang w:val="en-US"/>
            </w:rPr>
            <w:t>M</w:t>
          </w:r>
          <w:r>
            <w:rPr>
              <w:rFonts w:ascii="Verdana" w:hAnsi="Verdana"/>
              <w:b w:val="0"/>
              <w:sz w:val="20"/>
              <w:lang w:val="en-US"/>
            </w:rPr>
            <w:t>ontpellier, France</w:t>
          </w:r>
          <w:r w:rsidRPr="005577AE">
            <w:rPr>
              <w:rFonts w:ascii="Verdana" w:hAnsi="Verdana"/>
              <w:b w:val="0"/>
              <w:sz w:val="20"/>
              <w:lang w:val="en-US"/>
            </w:rPr>
            <w:t xml:space="preserve"> – </w:t>
          </w:r>
          <w:r>
            <w:rPr>
              <w:rFonts w:ascii="Verdana" w:hAnsi="Verdana"/>
              <w:b w:val="0"/>
              <w:sz w:val="20"/>
              <w:lang w:val="en-US"/>
            </w:rPr>
            <w:t xml:space="preserve">5 to 8 </w:t>
          </w:r>
          <w:r w:rsidRPr="005577AE">
            <w:rPr>
              <w:rFonts w:ascii="Verdana" w:hAnsi="Verdana"/>
              <w:b w:val="0"/>
              <w:sz w:val="20"/>
              <w:lang w:val="en-US"/>
            </w:rPr>
            <w:t>of July, 202</w:t>
          </w:r>
          <w:r>
            <w:rPr>
              <w:rFonts w:ascii="Verdana" w:hAnsi="Verdana"/>
              <w:b w:val="0"/>
              <w:sz w:val="20"/>
              <w:lang w:val="en-US"/>
            </w:rPr>
            <w:t>2</w:t>
          </w:r>
        </w:p>
      </w:tc>
      <w:tc>
        <w:tcPr>
          <w:tcW w:w="3011" w:type="dxa"/>
          <w:vAlign w:val="center"/>
        </w:tcPr>
        <w:p w14:paraId="5AF1F550" w14:textId="60A47AA6" w:rsidR="00236725" w:rsidRPr="00994BAA" w:rsidRDefault="00236725" w:rsidP="00E2153D">
          <w:pPr>
            <w:pStyle w:val="Encabezado"/>
            <w:jc w:val="right"/>
            <w:rPr>
              <w:rFonts w:ascii="Cambria" w:hAnsi="Cambria"/>
              <w:color w:val="00B050"/>
              <w:sz w:val="20"/>
              <w:szCs w:val="20"/>
              <w:lang w:val="en-GB"/>
            </w:rPr>
          </w:pPr>
          <w:r w:rsidRPr="00DD7EB9">
            <w:rPr>
              <w:rFonts w:ascii="Verdana" w:hAnsi="Verdana"/>
              <w:sz w:val="20"/>
              <w:szCs w:val="20"/>
              <w:lang w:val="en-GB"/>
            </w:rPr>
            <w:fldChar w:fldCharType="begin"/>
          </w:r>
          <w:r w:rsidRPr="00DD7EB9">
            <w:rPr>
              <w:rFonts w:ascii="Verdana" w:hAnsi="Verdana"/>
              <w:sz w:val="20"/>
              <w:szCs w:val="20"/>
              <w:lang w:val="en-GB"/>
            </w:rPr>
            <w:instrText>PAGE   \* MERGEFORMAT</w:instrText>
          </w:r>
          <w:r w:rsidRPr="00DD7EB9">
            <w:rPr>
              <w:rFonts w:ascii="Verdana" w:hAnsi="Verdana"/>
              <w:sz w:val="20"/>
              <w:szCs w:val="20"/>
              <w:lang w:val="en-GB"/>
            </w:rPr>
            <w:fldChar w:fldCharType="separate"/>
          </w:r>
          <w:r w:rsidR="006B0B4A">
            <w:rPr>
              <w:rFonts w:ascii="Verdana" w:hAnsi="Verdana"/>
              <w:noProof/>
              <w:sz w:val="20"/>
              <w:szCs w:val="20"/>
              <w:lang w:val="en-GB"/>
            </w:rPr>
            <w:t>3</w:t>
          </w:r>
          <w:r w:rsidRPr="00DD7EB9">
            <w:rPr>
              <w:rFonts w:ascii="Verdana" w:hAnsi="Verdana"/>
              <w:sz w:val="20"/>
              <w:szCs w:val="20"/>
              <w:lang w:val="en-GB"/>
            </w:rPr>
            <w:fldChar w:fldCharType="end"/>
          </w:r>
        </w:p>
      </w:tc>
    </w:tr>
  </w:tbl>
  <w:p w14:paraId="782406F7" w14:textId="77777777" w:rsidR="00236725" w:rsidRPr="001B519B" w:rsidRDefault="00236725" w:rsidP="000D6B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CE"/>
    <w:rsid w:val="0000135C"/>
    <w:rsid w:val="00013242"/>
    <w:rsid w:val="00041071"/>
    <w:rsid w:val="00063AC4"/>
    <w:rsid w:val="000730F1"/>
    <w:rsid w:val="00073BA2"/>
    <w:rsid w:val="00082BA8"/>
    <w:rsid w:val="000839FB"/>
    <w:rsid w:val="000A201C"/>
    <w:rsid w:val="000C5094"/>
    <w:rsid w:val="000D1023"/>
    <w:rsid w:val="000D6B6F"/>
    <w:rsid w:val="000E0B4A"/>
    <w:rsid w:val="000E3E47"/>
    <w:rsid w:val="000E74B8"/>
    <w:rsid w:val="000E78FC"/>
    <w:rsid w:val="00112DF0"/>
    <w:rsid w:val="0013707B"/>
    <w:rsid w:val="001678D0"/>
    <w:rsid w:val="0017459C"/>
    <w:rsid w:val="001975E2"/>
    <w:rsid w:val="001A0BC2"/>
    <w:rsid w:val="001A40D4"/>
    <w:rsid w:val="001B519B"/>
    <w:rsid w:val="001C1E7B"/>
    <w:rsid w:val="001D4C5F"/>
    <w:rsid w:val="001F1E2E"/>
    <w:rsid w:val="001F70E5"/>
    <w:rsid w:val="00200213"/>
    <w:rsid w:val="0020461B"/>
    <w:rsid w:val="00221AC8"/>
    <w:rsid w:val="00236725"/>
    <w:rsid w:val="002379B4"/>
    <w:rsid w:val="00240263"/>
    <w:rsid w:val="00240303"/>
    <w:rsid w:val="002427DF"/>
    <w:rsid w:val="00243F84"/>
    <w:rsid w:val="00260D52"/>
    <w:rsid w:val="002745CB"/>
    <w:rsid w:val="00285D11"/>
    <w:rsid w:val="00294212"/>
    <w:rsid w:val="002C3BDF"/>
    <w:rsid w:val="002C665E"/>
    <w:rsid w:val="002D204E"/>
    <w:rsid w:val="002F01EA"/>
    <w:rsid w:val="00303353"/>
    <w:rsid w:val="00334B9F"/>
    <w:rsid w:val="00350B09"/>
    <w:rsid w:val="0036051D"/>
    <w:rsid w:val="0039785E"/>
    <w:rsid w:val="003A0493"/>
    <w:rsid w:val="003A3336"/>
    <w:rsid w:val="003B0D9B"/>
    <w:rsid w:val="003B4D12"/>
    <w:rsid w:val="003B7790"/>
    <w:rsid w:val="003C73B9"/>
    <w:rsid w:val="003D58C2"/>
    <w:rsid w:val="003F7366"/>
    <w:rsid w:val="00405D42"/>
    <w:rsid w:val="004144B6"/>
    <w:rsid w:val="00420522"/>
    <w:rsid w:val="00433F37"/>
    <w:rsid w:val="0043791D"/>
    <w:rsid w:val="00472BCD"/>
    <w:rsid w:val="00473026"/>
    <w:rsid w:val="004B0F43"/>
    <w:rsid w:val="004C19B3"/>
    <w:rsid w:val="004C4D87"/>
    <w:rsid w:val="004D59B3"/>
    <w:rsid w:val="004E55A6"/>
    <w:rsid w:val="004F60E8"/>
    <w:rsid w:val="0050467A"/>
    <w:rsid w:val="00513039"/>
    <w:rsid w:val="00514837"/>
    <w:rsid w:val="00534A84"/>
    <w:rsid w:val="00540A1D"/>
    <w:rsid w:val="00543B8B"/>
    <w:rsid w:val="005474F3"/>
    <w:rsid w:val="00555B30"/>
    <w:rsid w:val="005577AE"/>
    <w:rsid w:val="005850D8"/>
    <w:rsid w:val="00590F23"/>
    <w:rsid w:val="005A2D7D"/>
    <w:rsid w:val="005E052A"/>
    <w:rsid w:val="005F1496"/>
    <w:rsid w:val="005F4AAA"/>
    <w:rsid w:val="006243F7"/>
    <w:rsid w:val="00626FFC"/>
    <w:rsid w:val="00641C50"/>
    <w:rsid w:val="00655938"/>
    <w:rsid w:val="0066650B"/>
    <w:rsid w:val="006757C1"/>
    <w:rsid w:val="00681417"/>
    <w:rsid w:val="006B0B08"/>
    <w:rsid w:val="006B0B4A"/>
    <w:rsid w:val="006C452D"/>
    <w:rsid w:val="006C572F"/>
    <w:rsid w:val="006E0342"/>
    <w:rsid w:val="006E0A88"/>
    <w:rsid w:val="006E5684"/>
    <w:rsid w:val="0070580C"/>
    <w:rsid w:val="00732BF2"/>
    <w:rsid w:val="007655D7"/>
    <w:rsid w:val="0077304F"/>
    <w:rsid w:val="00781BA1"/>
    <w:rsid w:val="00791E73"/>
    <w:rsid w:val="0079501A"/>
    <w:rsid w:val="007A3DDC"/>
    <w:rsid w:val="007B4FCE"/>
    <w:rsid w:val="007C6A50"/>
    <w:rsid w:val="007E580B"/>
    <w:rsid w:val="007F2AF0"/>
    <w:rsid w:val="007F423C"/>
    <w:rsid w:val="00805189"/>
    <w:rsid w:val="00807461"/>
    <w:rsid w:val="00810CD0"/>
    <w:rsid w:val="00826DE4"/>
    <w:rsid w:val="0083628E"/>
    <w:rsid w:val="008377A1"/>
    <w:rsid w:val="00850022"/>
    <w:rsid w:val="008636B9"/>
    <w:rsid w:val="008818E4"/>
    <w:rsid w:val="008936A7"/>
    <w:rsid w:val="00895586"/>
    <w:rsid w:val="008B0112"/>
    <w:rsid w:val="008B0641"/>
    <w:rsid w:val="008C3006"/>
    <w:rsid w:val="008E0880"/>
    <w:rsid w:val="008F27C0"/>
    <w:rsid w:val="00900709"/>
    <w:rsid w:val="00916AC9"/>
    <w:rsid w:val="00917D3C"/>
    <w:rsid w:val="0093296F"/>
    <w:rsid w:val="00945380"/>
    <w:rsid w:val="009532A3"/>
    <w:rsid w:val="00962AB0"/>
    <w:rsid w:val="009631B7"/>
    <w:rsid w:val="00965C57"/>
    <w:rsid w:val="00972F23"/>
    <w:rsid w:val="00974A4A"/>
    <w:rsid w:val="009913B4"/>
    <w:rsid w:val="00994BAA"/>
    <w:rsid w:val="00996206"/>
    <w:rsid w:val="009A0E1D"/>
    <w:rsid w:val="009A7CDD"/>
    <w:rsid w:val="009E1D58"/>
    <w:rsid w:val="009E4870"/>
    <w:rsid w:val="009E5BB7"/>
    <w:rsid w:val="009F2084"/>
    <w:rsid w:val="00A01E6C"/>
    <w:rsid w:val="00A2627C"/>
    <w:rsid w:val="00A26528"/>
    <w:rsid w:val="00A325C7"/>
    <w:rsid w:val="00A36F85"/>
    <w:rsid w:val="00A60178"/>
    <w:rsid w:val="00A73049"/>
    <w:rsid w:val="00AB65F9"/>
    <w:rsid w:val="00AE762A"/>
    <w:rsid w:val="00AF6B74"/>
    <w:rsid w:val="00B166E0"/>
    <w:rsid w:val="00B17935"/>
    <w:rsid w:val="00B51306"/>
    <w:rsid w:val="00B60C25"/>
    <w:rsid w:val="00B7152A"/>
    <w:rsid w:val="00B83878"/>
    <w:rsid w:val="00B9276C"/>
    <w:rsid w:val="00B932B2"/>
    <w:rsid w:val="00BC544F"/>
    <w:rsid w:val="00BD295C"/>
    <w:rsid w:val="00BD504B"/>
    <w:rsid w:val="00BE0493"/>
    <w:rsid w:val="00BF068A"/>
    <w:rsid w:val="00BF3817"/>
    <w:rsid w:val="00BF3FFE"/>
    <w:rsid w:val="00BF6AB7"/>
    <w:rsid w:val="00C168FE"/>
    <w:rsid w:val="00C26FC1"/>
    <w:rsid w:val="00C344DC"/>
    <w:rsid w:val="00C4605B"/>
    <w:rsid w:val="00C46AD9"/>
    <w:rsid w:val="00C53BC2"/>
    <w:rsid w:val="00C55623"/>
    <w:rsid w:val="00C5734F"/>
    <w:rsid w:val="00C60D91"/>
    <w:rsid w:val="00C76BAD"/>
    <w:rsid w:val="00C979BE"/>
    <w:rsid w:val="00CA6D2D"/>
    <w:rsid w:val="00CC54AB"/>
    <w:rsid w:val="00CD345E"/>
    <w:rsid w:val="00CD5A2F"/>
    <w:rsid w:val="00CD6D26"/>
    <w:rsid w:val="00CE4335"/>
    <w:rsid w:val="00CF45C9"/>
    <w:rsid w:val="00D07709"/>
    <w:rsid w:val="00D23870"/>
    <w:rsid w:val="00D242C7"/>
    <w:rsid w:val="00D320E4"/>
    <w:rsid w:val="00D43AE9"/>
    <w:rsid w:val="00D54350"/>
    <w:rsid w:val="00D61A41"/>
    <w:rsid w:val="00D61EAF"/>
    <w:rsid w:val="00D7446A"/>
    <w:rsid w:val="00D92770"/>
    <w:rsid w:val="00DA66A2"/>
    <w:rsid w:val="00DB205D"/>
    <w:rsid w:val="00DC4007"/>
    <w:rsid w:val="00DC5144"/>
    <w:rsid w:val="00DC5DF0"/>
    <w:rsid w:val="00DD7EB9"/>
    <w:rsid w:val="00DE02A1"/>
    <w:rsid w:val="00DF52BC"/>
    <w:rsid w:val="00E109AE"/>
    <w:rsid w:val="00E2153D"/>
    <w:rsid w:val="00E21F55"/>
    <w:rsid w:val="00E31639"/>
    <w:rsid w:val="00E61C43"/>
    <w:rsid w:val="00E74CA9"/>
    <w:rsid w:val="00E86ABD"/>
    <w:rsid w:val="00E90BBF"/>
    <w:rsid w:val="00E95E05"/>
    <w:rsid w:val="00EA1A08"/>
    <w:rsid w:val="00EA2DBB"/>
    <w:rsid w:val="00EA4516"/>
    <w:rsid w:val="00ED4817"/>
    <w:rsid w:val="00EF416E"/>
    <w:rsid w:val="00F204D1"/>
    <w:rsid w:val="00F31BB1"/>
    <w:rsid w:val="00F41F38"/>
    <w:rsid w:val="00F445EB"/>
    <w:rsid w:val="00F45DCA"/>
    <w:rsid w:val="00F562B7"/>
    <w:rsid w:val="00F57C0C"/>
    <w:rsid w:val="00F7029F"/>
    <w:rsid w:val="00F87E77"/>
    <w:rsid w:val="00FA5E38"/>
    <w:rsid w:val="00FA6CB1"/>
    <w:rsid w:val="00FB39C1"/>
    <w:rsid w:val="00FD4A0A"/>
    <w:rsid w:val="00FE75E6"/>
    <w:rsid w:val="00FF62CB"/>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CA928D"/>
  <w15:docId w15:val="{089A4EB3-1D41-BE41-98A5-B50DD1A6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lang w:val="da-DK" w:eastAsia="da-DK"/>
    </w:rPr>
  </w:style>
  <w:style w:type="paragraph" w:styleId="Ttulo1">
    <w:name w:val="heading 1"/>
    <w:aliases w:val="heading2"/>
    <w:basedOn w:val="Normal"/>
    <w:next w:val="Normal"/>
    <w:qFormat/>
    <w:pPr>
      <w:keepNext/>
      <w:outlineLvl w:val="0"/>
    </w:pPr>
    <w:rPr>
      <w:b/>
      <w:bCs/>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autoRedefine/>
    <w:qFormat/>
    <w:pPr>
      <w:keepNext/>
      <w:spacing w:line="200" w:lineRule="atLeast"/>
      <w:jc w:val="both"/>
      <w:outlineLvl w:val="3"/>
    </w:pPr>
    <w:rPr>
      <w:rFonts w:ascii="Verdana" w:hAnsi="Verdana"/>
      <w:b/>
      <w:sz w:val="14"/>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el1">
    <w:name w:val="Titel1"/>
    <w:basedOn w:val="Ttulo1"/>
    <w:pPr>
      <w:jc w:val="center"/>
    </w:pPr>
    <w:rPr>
      <w:rFonts w:ascii="Verdana" w:hAnsi="Verdana"/>
      <w:b w:val="0"/>
      <w:bCs w:val="0"/>
      <w:sz w:val="40"/>
    </w:rPr>
  </w:style>
  <w:style w:type="paragraph" w:customStyle="1" w:styleId="Authors">
    <w:name w:val="Authors"/>
    <w:basedOn w:val="Normal"/>
    <w:pPr>
      <w:keepNext/>
      <w:jc w:val="center"/>
      <w:outlineLvl w:val="1"/>
    </w:pPr>
    <w:rPr>
      <w:rFonts w:ascii="Verdana" w:hAnsi="Verdana"/>
    </w:rPr>
  </w:style>
  <w:style w:type="paragraph" w:customStyle="1" w:styleId="abstract">
    <w:name w:val="abstract"/>
    <w:basedOn w:val="Ttulo4"/>
  </w:style>
  <w:style w:type="paragraph" w:customStyle="1" w:styleId="Normaltext">
    <w:name w:val="Normal text"/>
    <w:basedOn w:val="Normal"/>
    <w:pPr>
      <w:spacing w:line="220" w:lineRule="atLeast"/>
      <w:jc w:val="both"/>
    </w:pPr>
    <w:rPr>
      <w:rFonts w:ascii="Verdana" w:hAnsi="Verdana"/>
      <w:sz w:val="16"/>
      <w:lang w:val="en-GB"/>
    </w:rPr>
  </w:style>
  <w:style w:type="paragraph" w:customStyle="1" w:styleId="berschrift11">
    <w:name w:val="Überschrift 11"/>
    <w:basedOn w:val="Ttulo1"/>
    <w:pPr>
      <w:spacing w:after="40" w:line="220" w:lineRule="atLeast"/>
      <w:jc w:val="center"/>
    </w:pPr>
    <w:rPr>
      <w:rFonts w:ascii="Verdana" w:hAnsi="Verdana"/>
      <w:b w:val="0"/>
      <w:bCs w:val="0"/>
      <w:smallCaps/>
      <w:sz w:val="18"/>
      <w:lang w:val="en-GB"/>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customStyle="1" w:styleId="Footnote">
    <w:name w:val="Foot note"/>
    <w:basedOn w:val="Textonotapie"/>
    <w:pPr>
      <w:tabs>
        <w:tab w:val="left" w:pos="240"/>
      </w:tabs>
      <w:spacing w:line="160" w:lineRule="atLeast"/>
    </w:pPr>
    <w:rPr>
      <w:rFonts w:ascii="Verdana" w:hAnsi="Verdana"/>
      <w:sz w:val="12"/>
    </w:rPr>
  </w:style>
  <w:style w:type="character" w:styleId="Hipervnculo">
    <w:name w:val="Hyperlink"/>
    <w:rPr>
      <w:color w:val="0000FF"/>
      <w:u w:val="single"/>
    </w:rPr>
  </w:style>
  <w:style w:type="paragraph" w:styleId="Textoindependiente">
    <w:name w:val="Body Text"/>
    <w:basedOn w:val="Normal"/>
    <w:pPr>
      <w:autoSpaceDE w:val="0"/>
      <w:autoSpaceDN w:val="0"/>
      <w:adjustRightInd w:val="0"/>
      <w:spacing w:line="220" w:lineRule="atLeast"/>
    </w:pPr>
    <w:rPr>
      <w:rFonts w:ascii="Verdana" w:hAnsi="Verdana"/>
      <w:sz w:val="16"/>
      <w:lang w:val="en-GB"/>
    </w:rPr>
  </w:style>
  <w:style w:type="paragraph" w:customStyle="1" w:styleId="Firstheading">
    <w:name w:val="First heading"/>
    <w:basedOn w:val="Normal"/>
    <w:pPr>
      <w:jc w:val="center"/>
    </w:pPr>
    <w:rPr>
      <w:rFonts w:ascii="Verdana" w:hAnsi="Verdana"/>
      <w:smallCaps/>
      <w:sz w:val="20"/>
      <w:lang w:val="en-US"/>
    </w:rPr>
  </w:style>
  <w:style w:type="paragraph" w:customStyle="1" w:styleId="Table">
    <w:name w:val="Table"/>
    <w:basedOn w:val="Normaltext"/>
    <w:pPr>
      <w:tabs>
        <w:tab w:val="left" w:pos="240"/>
      </w:tabs>
    </w:pPr>
    <w:rPr>
      <w:sz w:val="14"/>
    </w:rPr>
  </w:style>
  <w:style w:type="paragraph" w:styleId="Piedepgina">
    <w:name w:val="footer"/>
    <w:basedOn w:val="Normal"/>
    <w:link w:val="PiedepginaCar"/>
    <w:uiPriority w:val="99"/>
    <w:rsid w:val="00CD5A2F"/>
    <w:pPr>
      <w:tabs>
        <w:tab w:val="center" w:pos="4536"/>
        <w:tab w:val="right" w:pos="9072"/>
      </w:tabs>
    </w:pPr>
  </w:style>
  <w:style w:type="character" w:styleId="Nmerodepgina">
    <w:name w:val="page number"/>
    <w:basedOn w:val="Fuentedeprrafopredeter"/>
    <w:rsid w:val="00CD5A2F"/>
  </w:style>
  <w:style w:type="paragraph" w:styleId="Encabezado">
    <w:name w:val="header"/>
    <w:basedOn w:val="Normal"/>
    <w:link w:val="EncabezadoCar"/>
    <w:uiPriority w:val="99"/>
    <w:rsid w:val="00CD5A2F"/>
    <w:pPr>
      <w:tabs>
        <w:tab w:val="center" w:pos="4536"/>
        <w:tab w:val="right" w:pos="9072"/>
      </w:tabs>
    </w:pPr>
  </w:style>
  <w:style w:type="paragraph" w:styleId="Textodeglobo">
    <w:name w:val="Balloon Text"/>
    <w:basedOn w:val="Normal"/>
    <w:semiHidden/>
    <w:rsid w:val="006C572F"/>
    <w:rPr>
      <w:rFonts w:ascii="Tahoma" w:hAnsi="Tahoma" w:cs="Tahoma"/>
      <w:sz w:val="16"/>
      <w:szCs w:val="16"/>
    </w:rPr>
  </w:style>
  <w:style w:type="character" w:styleId="Refdecomentario">
    <w:name w:val="annotation reference"/>
    <w:uiPriority w:val="99"/>
    <w:semiHidden/>
    <w:rsid w:val="002427DF"/>
    <w:rPr>
      <w:sz w:val="16"/>
      <w:szCs w:val="16"/>
    </w:rPr>
  </w:style>
  <w:style w:type="paragraph" w:styleId="Textocomentario">
    <w:name w:val="annotation text"/>
    <w:basedOn w:val="Normal"/>
    <w:link w:val="TextocomentarioCar"/>
    <w:uiPriority w:val="99"/>
    <w:rsid w:val="002427DF"/>
    <w:rPr>
      <w:sz w:val="20"/>
      <w:szCs w:val="20"/>
    </w:rPr>
  </w:style>
  <w:style w:type="paragraph" w:styleId="Asuntodelcomentario">
    <w:name w:val="annotation subject"/>
    <w:basedOn w:val="Textocomentario"/>
    <w:next w:val="Textocomentario"/>
    <w:semiHidden/>
    <w:rsid w:val="002427DF"/>
    <w:rPr>
      <w:b/>
      <w:bCs/>
    </w:rPr>
  </w:style>
  <w:style w:type="table" w:styleId="Tablaconcuadrcula">
    <w:name w:val="Table Grid"/>
    <w:basedOn w:val="Tablanormal"/>
    <w:uiPriority w:val="59"/>
    <w:rsid w:val="001B519B"/>
    <w:rPr>
      <w:rFonts w:ascii="Cambria" w:eastAsia="MS Mincho" w:hAnsi="Cambria"/>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1B519B"/>
    <w:rPr>
      <w:rFonts w:ascii="Garamond" w:hAnsi="Garamond"/>
      <w:sz w:val="24"/>
      <w:szCs w:val="24"/>
      <w:lang w:val="da-DK" w:eastAsia="da-DK"/>
    </w:rPr>
  </w:style>
  <w:style w:type="paragraph" w:customStyle="1" w:styleId="Titredepartie">
    <w:name w:val="Titre de partie"/>
    <w:basedOn w:val="Ttulo3"/>
    <w:rsid w:val="00DD7EB9"/>
    <w:pPr>
      <w:keepLines/>
      <w:suppressAutoHyphens/>
      <w:autoSpaceDN w:val="0"/>
      <w:spacing w:before="200" w:after="0" w:line="276" w:lineRule="auto"/>
      <w:ind w:left="708"/>
      <w:textAlignment w:val="baseline"/>
    </w:pPr>
    <w:rPr>
      <w:rFonts w:ascii="Century Gothic" w:hAnsi="Century Gothic" w:cs="Times New Roman"/>
      <w:i/>
      <w:color w:val="B4482E"/>
      <w:sz w:val="22"/>
      <w:szCs w:val="22"/>
      <w:lang w:val="fr-FR" w:eastAsia="en-US"/>
    </w:rPr>
  </w:style>
  <w:style w:type="character" w:customStyle="1" w:styleId="PiedepginaCar">
    <w:name w:val="Pie de página Car"/>
    <w:basedOn w:val="Fuentedeprrafopredeter"/>
    <w:link w:val="Piedepgina"/>
    <w:uiPriority w:val="99"/>
    <w:rsid w:val="00E109AE"/>
    <w:rPr>
      <w:rFonts w:ascii="Garamond" w:hAnsi="Garamond"/>
      <w:sz w:val="24"/>
      <w:szCs w:val="24"/>
      <w:lang w:val="da-DK" w:eastAsia="da-DK"/>
    </w:rPr>
  </w:style>
  <w:style w:type="character" w:customStyle="1" w:styleId="UnresolvedMention1">
    <w:name w:val="Unresolved Mention1"/>
    <w:basedOn w:val="Fuentedeprrafopredeter"/>
    <w:uiPriority w:val="99"/>
    <w:semiHidden/>
    <w:unhideWhenUsed/>
    <w:rsid w:val="00BE0493"/>
    <w:rPr>
      <w:color w:val="605E5C"/>
      <w:shd w:val="clear" w:color="auto" w:fill="E1DFDD"/>
    </w:rPr>
  </w:style>
  <w:style w:type="paragraph" w:styleId="NormalWeb">
    <w:name w:val="Normal (Web)"/>
    <w:basedOn w:val="Normal"/>
    <w:uiPriority w:val="99"/>
    <w:unhideWhenUsed/>
    <w:rsid w:val="00E2153D"/>
    <w:pPr>
      <w:spacing w:before="100" w:beforeAutospacing="1" w:after="100" w:afterAutospacing="1"/>
    </w:pPr>
    <w:rPr>
      <w:rFonts w:ascii="Times" w:hAnsi="Times"/>
      <w:sz w:val="20"/>
      <w:szCs w:val="20"/>
      <w:lang w:val="en-US" w:eastAsia="en-US"/>
    </w:rPr>
  </w:style>
  <w:style w:type="character" w:customStyle="1" w:styleId="TextocomentarioCar">
    <w:name w:val="Texto comentario Car"/>
    <w:basedOn w:val="Fuentedeprrafopredeter"/>
    <w:link w:val="Textocomentario"/>
    <w:uiPriority w:val="99"/>
    <w:rsid w:val="00F45DCA"/>
    <w:rPr>
      <w:rFonts w:ascii="Garamond" w:hAnsi="Garamond"/>
      <w:lang w:val="da-DK" w:eastAsia="da-DK"/>
    </w:rPr>
  </w:style>
  <w:style w:type="paragraph" w:styleId="Textonotaalfinal">
    <w:name w:val="endnote text"/>
    <w:basedOn w:val="Normal"/>
    <w:link w:val="TextonotaalfinalCar"/>
    <w:uiPriority w:val="99"/>
    <w:semiHidden/>
    <w:unhideWhenUsed/>
    <w:rsid w:val="006757C1"/>
    <w:rPr>
      <w:rFonts w:asciiTheme="minorHAnsi" w:eastAsiaTheme="minorHAnsi" w:hAnsiTheme="minorHAnsi" w:cstheme="minorBidi"/>
      <w:sz w:val="20"/>
      <w:szCs w:val="20"/>
      <w:lang w:val="es-EC" w:eastAsia="en-US"/>
    </w:rPr>
  </w:style>
  <w:style w:type="character" w:customStyle="1" w:styleId="TextonotaalfinalCar">
    <w:name w:val="Texto nota al final Car"/>
    <w:basedOn w:val="Fuentedeprrafopredeter"/>
    <w:link w:val="Textonotaalfinal"/>
    <w:uiPriority w:val="99"/>
    <w:semiHidden/>
    <w:rsid w:val="006757C1"/>
    <w:rPr>
      <w:rFonts w:asciiTheme="minorHAnsi" w:eastAsiaTheme="minorHAnsi" w:hAnsiTheme="minorHAnsi" w:cstheme="minorBidi"/>
      <w:lang w:val="es-EC" w:eastAsia="en-US"/>
    </w:rPr>
  </w:style>
  <w:style w:type="character" w:styleId="Refdenotaalfinal">
    <w:name w:val="endnote reference"/>
    <w:basedOn w:val="Fuentedeprrafopredeter"/>
    <w:uiPriority w:val="99"/>
    <w:semiHidden/>
    <w:unhideWhenUsed/>
    <w:rsid w:val="006757C1"/>
    <w:rPr>
      <w:vertAlign w:val="superscript"/>
    </w:rPr>
  </w:style>
  <w:style w:type="paragraph" w:customStyle="1" w:styleId="Bibliography">
    <w:name w:val="Bibliography"/>
    <w:basedOn w:val="Normal"/>
    <w:link w:val="BibliographyCar"/>
    <w:rsid w:val="00CD6D26"/>
    <w:pPr>
      <w:spacing w:line="480" w:lineRule="auto"/>
      <w:ind w:left="720" w:hanging="720"/>
    </w:pPr>
    <w:rPr>
      <w:rFonts w:asciiTheme="minorHAnsi" w:eastAsiaTheme="minorHAnsi" w:hAnsiTheme="minorHAnsi" w:cstheme="minorBidi"/>
      <w:lang w:val="fr-FR" w:eastAsia="en-US"/>
    </w:rPr>
  </w:style>
  <w:style w:type="character" w:customStyle="1" w:styleId="BibliographyCar">
    <w:name w:val="Bibliography Car"/>
    <w:basedOn w:val="Fuentedeprrafopredeter"/>
    <w:link w:val="Bibliography"/>
    <w:rsid w:val="00CD6D26"/>
    <w:rPr>
      <w:rFonts w:asciiTheme="minorHAnsi" w:eastAsiaTheme="minorHAnsi" w:hAnsiTheme="minorHAnsi" w:cstheme="minorBidi"/>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946260">
      <w:bodyDiv w:val="1"/>
      <w:marLeft w:val="0"/>
      <w:marRight w:val="0"/>
      <w:marTop w:val="0"/>
      <w:marBottom w:val="0"/>
      <w:divBdr>
        <w:top w:val="none" w:sz="0" w:space="0" w:color="auto"/>
        <w:left w:val="none" w:sz="0" w:space="0" w:color="auto"/>
        <w:bottom w:val="none" w:sz="0" w:space="0" w:color="auto"/>
        <w:right w:val="none" w:sz="0" w:space="0" w:color="auto"/>
      </w:divBdr>
    </w:div>
    <w:div w:id="705831347">
      <w:bodyDiv w:val="1"/>
      <w:marLeft w:val="0"/>
      <w:marRight w:val="0"/>
      <w:marTop w:val="0"/>
      <w:marBottom w:val="0"/>
      <w:divBdr>
        <w:top w:val="none" w:sz="0" w:space="0" w:color="auto"/>
        <w:left w:val="none" w:sz="0" w:space="0" w:color="auto"/>
        <w:bottom w:val="none" w:sz="0" w:space="0" w:color="auto"/>
        <w:right w:val="none" w:sz="0" w:space="0" w:color="auto"/>
      </w:divBdr>
      <w:divsChild>
        <w:div w:id="1501389231">
          <w:marLeft w:val="0"/>
          <w:marRight w:val="0"/>
          <w:marTop w:val="0"/>
          <w:marBottom w:val="0"/>
          <w:divBdr>
            <w:top w:val="none" w:sz="0" w:space="0" w:color="auto"/>
            <w:left w:val="none" w:sz="0" w:space="0" w:color="auto"/>
            <w:bottom w:val="none" w:sz="0" w:space="0" w:color="auto"/>
            <w:right w:val="none" w:sz="0" w:space="0" w:color="auto"/>
          </w:divBdr>
        </w:div>
      </w:divsChild>
    </w:div>
    <w:div w:id="1053310793">
      <w:bodyDiv w:val="1"/>
      <w:marLeft w:val="0"/>
      <w:marRight w:val="0"/>
      <w:marTop w:val="0"/>
      <w:marBottom w:val="0"/>
      <w:divBdr>
        <w:top w:val="none" w:sz="0" w:space="0" w:color="auto"/>
        <w:left w:val="none" w:sz="0" w:space="0" w:color="auto"/>
        <w:bottom w:val="none" w:sz="0" w:space="0" w:color="auto"/>
        <w:right w:val="none" w:sz="0" w:space="0" w:color="auto"/>
      </w:divBdr>
    </w:div>
    <w:div w:id="1159033815">
      <w:bodyDiv w:val="1"/>
      <w:marLeft w:val="0"/>
      <w:marRight w:val="0"/>
      <w:marTop w:val="0"/>
      <w:marBottom w:val="0"/>
      <w:divBdr>
        <w:top w:val="none" w:sz="0" w:space="0" w:color="auto"/>
        <w:left w:val="none" w:sz="0" w:space="0" w:color="auto"/>
        <w:bottom w:val="none" w:sz="0" w:space="0" w:color="auto"/>
        <w:right w:val="none" w:sz="0" w:space="0" w:color="auto"/>
      </w:divBdr>
    </w:div>
    <w:div w:id="1268193284">
      <w:bodyDiv w:val="1"/>
      <w:marLeft w:val="0"/>
      <w:marRight w:val="0"/>
      <w:marTop w:val="0"/>
      <w:marBottom w:val="0"/>
      <w:divBdr>
        <w:top w:val="none" w:sz="0" w:space="0" w:color="auto"/>
        <w:left w:val="none" w:sz="0" w:space="0" w:color="auto"/>
        <w:bottom w:val="none" w:sz="0" w:space="0" w:color="auto"/>
        <w:right w:val="none" w:sz="0" w:space="0" w:color="auto"/>
      </w:divBdr>
      <w:divsChild>
        <w:div w:id="210942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425843">
              <w:marLeft w:val="0"/>
              <w:marRight w:val="0"/>
              <w:marTop w:val="0"/>
              <w:marBottom w:val="0"/>
              <w:divBdr>
                <w:top w:val="none" w:sz="0" w:space="0" w:color="auto"/>
                <w:left w:val="none" w:sz="0" w:space="0" w:color="auto"/>
                <w:bottom w:val="none" w:sz="0" w:space="0" w:color="auto"/>
                <w:right w:val="none" w:sz="0" w:space="0" w:color="auto"/>
              </w:divBdr>
              <w:divsChild>
                <w:div w:id="139789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10243">
      <w:bodyDiv w:val="1"/>
      <w:marLeft w:val="0"/>
      <w:marRight w:val="0"/>
      <w:marTop w:val="0"/>
      <w:marBottom w:val="0"/>
      <w:divBdr>
        <w:top w:val="none" w:sz="0" w:space="0" w:color="auto"/>
        <w:left w:val="none" w:sz="0" w:space="0" w:color="auto"/>
        <w:bottom w:val="none" w:sz="0" w:space="0" w:color="auto"/>
        <w:right w:val="none" w:sz="0" w:space="0" w:color="auto"/>
      </w:divBdr>
    </w:div>
    <w:div w:id="1387680902">
      <w:bodyDiv w:val="1"/>
      <w:marLeft w:val="0"/>
      <w:marRight w:val="0"/>
      <w:marTop w:val="0"/>
      <w:marBottom w:val="0"/>
      <w:divBdr>
        <w:top w:val="none" w:sz="0" w:space="0" w:color="auto"/>
        <w:left w:val="none" w:sz="0" w:space="0" w:color="auto"/>
        <w:bottom w:val="none" w:sz="0" w:space="0" w:color="auto"/>
        <w:right w:val="none" w:sz="0" w:space="0" w:color="auto"/>
      </w:divBdr>
      <w:divsChild>
        <w:div w:id="1226254654">
          <w:marLeft w:val="0"/>
          <w:marRight w:val="0"/>
          <w:marTop w:val="0"/>
          <w:marBottom w:val="0"/>
          <w:divBdr>
            <w:top w:val="none" w:sz="0" w:space="0" w:color="auto"/>
            <w:left w:val="none" w:sz="0" w:space="0" w:color="auto"/>
            <w:bottom w:val="none" w:sz="0" w:space="0" w:color="auto"/>
            <w:right w:val="none" w:sz="0" w:space="0" w:color="auto"/>
          </w:divBdr>
        </w:div>
      </w:divsChild>
    </w:div>
    <w:div w:id="1517769674">
      <w:bodyDiv w:val="1"/>
      <w:marLeft w:val="0"/>
      <w:marRight w:val="0"/>
      <w:marTop w:val="0"/>
      <w:marBottom w:val="0"/>
      <w:divBdr>
        <w:top w:val="none" w:sz="0" w:space="0" w:color="auto"/>
        <w:left w:val="none" w:sz="0" w:space="0" w:color="auto"/>
        <w:bottom w:val="none" w:sz="0" w:space="0" w:color="auto"/>
        <w:right w:val="none" w:sz="0" w:space="0" w:color="auto"/>
      </w:divBdr>
      <w:divsChild>
        <w:div w:id="183785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20954">
              <w:marLeft w:val="0"/>
              <w:marRight w:val="0"/>
              <w:marTop w:val="0"/>
              <w:marBottom w:val="0"/>
              <w:divBdr>
                <w:top w:val="none" w:sz="0" w:space="0" w:color="auto"/>
                <w:left w:val="none" w:sz="0" w:space="0" w:color="auto"/>
                <w:bottom w:val="none" w:sz="0" w:space="0" w:color="auto"/>
                <w:right w:val="none" w:sz="0" w:space="0" w:color="auto"/>
              </w:divBdr>
              <w:divsChild>
                <w:div w:id="19029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08810">
      <w:bodyDiv w:val="1"/>
      <w:marLeft w:val="0"/>
      <w:marRight w:val="0"/>
      <w:marTop w:val="0"/>
      <w:marBottom w:val="0"/>
      <w:divBdr>
        <w:top w:val="none" w:sz="0" w:space="0" w:color="auto"/>
        <w:left w:val="none" w:sz="0" w:space="0" w:color="auto"/>
        <w:bottom w:val="none" w:sz="0" w:space="0" w:color="auto"/>
        <w:right w:val="none" w:sz="0" w:space="0" w:color="auto"/>
      </w:divBdr>
      <w:divsChild>
        <w:div w:id="1400597311">
          <w:marLeft w:val="0"/>
          <w:marRight w:val="0"/>
          <w:marTop w:val="0"/>
          <w:marBottom w:val="0"/>
          <w:divBdr>
            <w:top w:val="none" w:sz="0" w:space="0" w:color="auto"/>
            <w:left w:val="none" w:sz="0" w:space="0" w:color="auto"/>
            <w:bottom w:val="none" w:sz="0" w:space="0" w:color="auto"/>
            <w:right w:val="none" w:sz="0" w:space="0" w:color="auto"/>
          </w:divBdr>
        </w:div>
      </w:divsChild>
    </w:div>
    <w:div w:id="207219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9D185-5E91-FA4F-A5A1-2585AF4A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2639</Words>
  <Characters>14518</Characters>
  <Application>Microsoft Office Word</Application>
  <DocSecurity>0</DocSecurity>
  <Lines>120</Lines>
  <Paragraphs>34</Paragraphs>
  <ScaleCrop>false</ScaleCrop>
  <HeadingPairs>
    <vt:vector size="10" baseType="variant">
      <vt:variant>
        <vt:lpstr>Título</vt:lpstr>
      </vt:variant>
      <vt:variant>
        <vt:i4>1</vt:i4>
      </vt:variant>
      <vt:variant>
        <vt:lpstr>Titre</vt:lpstr>
      </vt:variant>
      <vt:variant>
        <vt:i4>1</vt:i4>
      </vt:variant>
      <vt:variant>
        <vt:lpstr>Title</vt:lpstr>
      </vt:variant>
      <vt:variant>
        <vt:i4>1</vt:i4>
      </vt:variant>
      <vt:variant>
        <vt:lpstr>Titel</vt:lpstr>
      </vt:variant>
      <vt:variant>
        <vt:i4>1</vt:i4>
      </vt:variant>
      <vt:variant>
        <vt:lpstr>Überschriften</vt:lpstr>
      </vt:variant>
      <vt:variant>
        <vt:i4>13</vt:i4>
      </vt:variant>
    </vt:vector>
  </HeadingPairs>
  <TitlesOfParts>
    <vt:vector size="17" baseType="lpstr">
      <vt:lpstr>Preparation and submission of extended ab-stracts for the Joint Organic Congress 2006</vt:lpstr>
      <vt:lpstr>Preparation and submission of extended ab-stracts for the Joint Organic Congress 2006</vt:lpstr>
      <vt:lpstr>Preparation and submission of extended ab-stracts for the Joint Organic Congress 2006</vt:lpstr>
      <vt:lpstr>Preparation and submission of extended ab-stracts for the Joint Organic Congress 2006</vt:lpstr>
      <vt:lpstr>Title</vt:lpstr>
      <vt:lpstr/>
      <vt:lpstr>    First A. Author, Second B. Author, und Third C. Author1</vt:lpstr>
      <vt:lpstr>    </vt:lpstr>
      <vt:lpstr>    </vt:lpstr>
      <vt:lpstr>    </vt:lpstr>
      <vt:lpstr>Introduction to using the template</vt:lpstr>
      <vt:lpstr>Procedure for Short paper submission</vt:lpstr>
      <vt:lpstr>Structure of the short paper</vt:lpstr>
      <vt:lpstr>Helpful hints on formatting</vt:lpstr>
      <vt:lpstr>Guidelines for references</vt:lpstr>
      <vt:lpstr>Acknowledgement</vt:lpstr>
      <vt:lpstr>References</vt:lpstr>
    </vt:vector>
  </TitlesOfParts>
  <Company>DJF</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extended ab-stracts for the Joint Organic Congress 2006</dc:title>
  <dc:creator>lel</dc:creator>
  <cp:lastModifiedBy>Rafa Villota</cp:lastModifiedBy>
  <cp:revision>2</cp:revision>
  <cp:lastPrinted>2010-01-26T12:47:00Z</cp:lastPrinted>
  <dcterms:created xsi:type="dcterms:W3CDTF">2022-05-09T10:24:00Z</dcterms:created>
  <dcterms:modified xsi:type="dcterms:W3CDTF">2022-05-09T10:24:00Z</dcterms:modified>
</cp:coreProperties>
</file>